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FB" w:rsidRDefault="00593FFB" w:rsidP="00823361">
      <w:pPr>
        <w:spacing w:after="0" w:line="240" w:lineRule="auto"/>
        <w:ind w:left="5676" w:right="81"/>
      </w:pPr>
    </w:p>
    <w:p w:rsidR="000A6087" w:rsidRDefault="000A6087" w:rsidP="00593FFB">
      <w:pPr>
        <w:tabs>
          <w:tab w:val="left" w:pos="426"/>
          <w:tab w:val="left" w:pos="993"/>
        </w:tabs>
        <w:suppressAutoHyphen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FFB" w:rsidRPr="00593FFB">
        <w:rPr>
          <w:rFonts w:ascii="Times New Roman" w:hAnsi="Times New Roman" w:cs="Times New Roman"/>
          <w:sz w:val="24"/>
          <w:szCs w:val="24"/>
        </w:rPr>
        <w:t xml:space="preserve">Додаток № 2  </w:t>
      </w:r>
    </w:p>
    <w:p w:rsidR="00593FFB" w:rsidRPr="00593FFB" w:rsidRDefault="000A6087" w:rsidP="00593FFB">
      <w:pPr>
        <w:tabs>
          <w:tab w:val="left" w:pos="426"/>
          <w:tab w:val="left" w:pos="993"/>
        </w:tabs>
        <w:suppressAutoHyphens/>
        <w:spacing w:after="0" w:line="240" w:lineRule="auto"/>
        <w:ind w:firstLine="709"/>
        <w:jc w:val="center"/>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93FFB" w:rsidRPr="00593FFB">
        <w:rPr>
          <w:rFonts w:ascii="Times New Roman" w:hAnsi="Times New Roman" w:cs="Times New Roman"/>
          <w:sz w:val="24"/>
          <w:szCs w:val="24"/>
        </w:rPr>
        <w:t>до</w:t>
      </w:r>
      <w:r w:rsidR="00593FFB">
        <w:rPr>
          <w:rFonts w:ascii="Times New Roman" w:hAnsi="Times New Roman" w:cs="Times New Roman"/>
          <w:sz w:val="24"/>
          <w:szCs w:val="24"/>
        </w:rPr>
        <w:t xml:space="preserve"> </w:t>
      </w:r>
      <w:r>
        <w:rPr>
          <w:rFonts w:ascii="Times New Roman" w:hAnsi="Times New Roman" w:cs="Times New Roman"/>
          <w:sz w:val="24"/>
          <w:szCs w:val="24"/>
        </w:rPr>
        <w:t>Додаткового п</w:t>
      </w:r>
      <w:r w:rsidR="00593FFB">
        <w:rPr>
          <w:rFonts w:ascii="Times New Roman" w:hAnsi="Times New Roman" w:cs="Times New Roman"/>
          <w:sz w:val="24"/>
          <w:szCs w:val="24"/>
        </w:rPr>
        <w:t xml:space="preserve">овідомлення </w:t>
      </w:r>
    </w:p>
    <w:p w:rsidR="00593FFB" w:rsidRDefault="00593FFB" w:rsidP="00823361">
      <w:pPr>
        <w:spacing w:after="0" w:line="240" w:lineRule="auto"/>
        <w:ind w:left="5676" w:right="81"/>
      </w:pPr>
    </w:p>
    <w:p w:rsidR="00823361" w:rsidRDefault="00823361" w:rsidP="00823361">
      <w:pPr>
        <w:spacing w:after="0" w:line="240" w:lineRule="auto"/>
        <w:ind w:left="5676" w:right="81"/>
        <w:rPr>
          <w:rFonts w:ascii="Times New Roman" w:hAnsi="Times New Roman" w:cs="Times New Roman"/>
          <w:b/>
          <w:bCs/>
          <w:color w:val="000000" w:themeColor="text1"/>
          <w:sz w:val="26"/>
          <w:szCs w:val="26"/>
        </w:rPr>
      </w:pPr>
      <w:r>
        <w:t xml:space="preserve">ЗАТВЕРДЖЕНО Наказ Міністерства соціальної політики, сім’ї та єдності України від 24.09.2025 року № 476-Н </w:t>
      </w:r>
    </w:p>
    <w:p w:rsidR="00823361" w:rsidRDefault="00823361" w:rsidP="008A43E2">
      <w:pPr>
        <w:spacing w:after="0" w:line="240" w:lineRule="auto"/>
        <w:ind w:right="81"/>
        <w:jc w:val="center"/>
        <w:rPr>
          <w:rFonts w:ascii="Times New Roman" w:hAnsi="Times New Roman" w:cs="Times New Roman"/>
          <w:b/>
          <w:bCs/>
          <w:color w:val="000000" w:themeColor="text1"/>
          <w:sz w:val="26"/>
          <w:szCs w:val="26"/>
        </w:rPr>
      </w:pPr>
      <w:bookmarkStart w:id="0" w:name="_GoBack"/>
      <w:bookmarkEnd w:id="0"/>
    </w:p>
    <w:p w:rsidR="008A43E2" w:rsidRPr="0058130E" w:rsidRDefault="00823361" w:rsidP="003642C7">
      <w:pPr>
        <w:spacing w:after="0" w:line="228" w:lineRule="auto"/>
        <w:ind w:right="81"/>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Примірний договір</w:t>
      </w:r>
    </w:p>
    <w:p w:rsidR="008A43E2" w:rsidRPr="0058130E" w:rsidRDefault="008A43E2" w:rsidP="003642C7">
      <w:pPr>
        <w:spacing w:after="0" w:line="228"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про забезпечення надання соціальної послуги </w:t>
      </w:r>
    </w:p>
    <w:p w:rsidR="008A43E2" w:rsidRPr="0058130E" w:rsidRDefault="008A43E2" w:rsidP="003642C7">
      <w:pPr>
        <w:spacing w:after="0" w:line="228"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з комплексного розвитку та догляду дітей з інвалідністю</w:t>
      </w:r>
    </w:p>
    <w:tbl>
      <w:tblPr>
        <w:tblW w:w="9639" w:type="dxa"/>
        <w:tblCellMar>
          <w:top w:w="15" w:type="dxa"/>
          <w:left w:w="15" w:type="dxa"/>
          <w:bottom w:w="15" w:type="dxa"/>
          <w:right w:w="15" w:type="dxa"/>
        </w:tblCellMar>
        <w:tblLook w:val="04A0" w:firstRow="1" w:lastRow="0" w:firstColumn="1" w:lastColumn="0" w:noHBand="0" w:noVBand="1"/>
      </w:tblPr>
      <w:tblGrid>
        <w:gridCol w:w="4520"/>
        <w:gridCol w:w="5119"/>
      </w:tblGrid>
      <w:tr w:rsidR="008A43E2" w:rsidRPr="0058130E" w:rsidTr="00650E50">
        <w:trPr>
          <w:trHeight w:val="681"/>
        </w:trPr>
        <w:tc>
          <w:tcPr>
            <w:tcW w:w="0" w:type="auto"/>
            <w:tcMar>
              <w:top w:w="100" w:type="dxa"/>
              <w:left w:w="100" w:type="dxa"/>
              <w:bottom w:w="100" w:type="dxa"/>
              <w:right w:w="100" w:type="dxa"/>
            </w:tcMar>
            <w:hideMark/>
          </w:tcPr>
          <w:p w:rsidR="008A43E2" w:rsidRPr="0058130E" w:rsidRDefault="008A43E2" w:rsidP="003642C7">
            <w:pPr>
              <w:spacing w:after="0" w:line="228"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________________________________        </w:t>
            </w:r>
          </w:p>
          <w:p w:rsidR="008A43E2" w:rsidRPr="0058130E" w:rsidRDefault="008A43E2" w:rsidP="003642C7">
            <w:pPr>
              <w:spacing w:after="0" w:line="228" w:lineRule="auto"/>
              <w:ind w:right="1180"/>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населеного пункту)</w:t>
            </w:r>
          </w:p>
        </w:tc>
        <w:tc>
          <w:tcPr>
            <w:tcW w:w="5119" w:type="dxa"/>
            <w:tcMar>
              <w:top w:w="100" w:type="dxa"/>
              <w:left w:w="100" w:type="dxa"/>
              <w:bottom w:w="100" w:type="dxa"/>
              <w:right w:w="100" w:type="dxa"/>
            </w:tcMar>
            <w:hideMark/>
          </w:tcPr>
          <w:p w:rsidR="008A43E2" w:rsidRPr="0058130E" w:rsidRDefault="008A43E2" w:rsidP="003642C7">
            <w:pPr>
              <w:spacing w:after="0" w:line="228" w:lineRule="auto"/>
              <w:ind w:firstLine="625"/>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  __________________  20___ р.</w:t>
            </w:r>
          </w:p>
        </w:tc>
      </w:tr>
    </w:tbl>
    <w:p w:rsidR="008A43E2" w:rsidRPr="0058130E" w:rsidRDefault="008A43E2" w:rsidP="003642C7">
      <w:pPr>
        <w:spacing w:after="0" w:line="228" w:lineRule="auto"/>
        <w:rPr>
          <w:rFonts w:ascii="Times New Roman" w:hAnsi="Times New Roman" w:cs="Times New Roman"/>
          <w:color w:val="000000" w:themeColor="text1"/>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437"/>
        <w:gridCol w:w="2227"/>
        <w:gridCol w:w="278"/>
        <w:gridCol w:w="4696"/>
      </w:tblGrid>
      <w:tr w:rsidR="008A43E2" w:rsidRPr="0058130E" w:rsidTr="00650E50">
        <w:tc>
          <w:tcPr>
            <w:tcW w:w="0" w:type="auto"/>
            <w:gridSpan w:val="4"/>
            <w:tcMar>
              <w:top w:w="0" w:type="dxa"/>
              <w:left w:w="108" w:type="dxa"/>
              <w:bottom w:w="0" w:type="dxa"/>
              <w:right w:w="108" w:type="dxa"/>
            </w:tcMar>
            <w:hideMark/>
          </w:tcPr>
          <w:p w:rsidR="008A43E2" w:rsidRPr="0058130E" w:rsidRDefault="008A43E2" w:rsidP="003642C7">
            <w:pPr>
              <w:spacing w:after="0" w:line="228" w:lineRule="auto"/>
              <w:ind w:firstLine="720"/>
              <w:jc w:val="both"/>
              <w:rPr>
                <w:rFonts w:ascii="Times New Roman" w:hAnsi="Times New Roman" w:cs="Times New Roman"/>
                <w:color w:val="000000" w:themeColor="text1"/>
                <w:sz w:val="26"/>
                <w:szCs w:val="26"/>
              </w:rPr>
            </w:pPr>
            <w:r w:rsidRPr="0058130E">
              <w:rPr>
                <w:rFonts w:ascii="Times New Roman" w:hAnsi="Times New Roman" w:cs="Times New Roman"/>
                <w:bCs/>
                <w:color w:val="000000" w:themeColor="text1"/>
                <w:sz w:val="26"/>
                <w:szCs w:val="26"/>
              </w:rPr>
              <w:t>Фонд соціального захисту осіб з інвалідністю</w:t>
            </w:r>
            <w:r w:rsidRPr="0058130E">
              <w:rPr>
                <w:rFonts w:ascii="Times New Roman" w:hAnsi="Times New Roman" w:cs="Times New Roman"/>
                <w:color w:val="000000" w:themeColor="text1"/>
                <w:sz w:val="26"/>
                <w:szCs w:val="26"/>
              </w:rPr>
              <w:t xml:space="preserve"> </w:t>
            </w:r>
            <w:r w:rsidRPr="0058130E">
              <w:rPr>
                <w:rFonts w:ascii="Times New Roman" w:hAnsi="Times New Roman" w:cs="Times New Roman"/>
                <w:bCs/>
                <w:color w:val="000000" w:themeColor="text1"/>
                <w:sz w:val="26"/>
                <w:szCs w:val="26"/>
              </w:rPr>
              <w:t>в особі</w:t>
            </w:r>
            <w:r w:rsidRPr="0058130E">
              <w:rPr>
                <w:rFonts w:ascii="Times New Roman" w:hAnsi="Times New Roman" w:cs="Times New Roman"/>
                <w:color w:val="000000" w:themeColor="text1"/>
                <w:sz w:val="26"/>
                <w:szCs w:val="26"/>
              </w:rPr>
              <w:t>________________________________________________________________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 (далі – Фонд),</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з однієї сторони, та ____________________________________________________</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   _________________________________,</w:t>
            </w:r>
          </w:p>
          <w:p w:rsidR="008A43E2" w:rsidRPr="0058130E" w:rsidRDefault="008A43E2" w:rsidP="003642C7">
            <w:pPr>
              <w:spacing w:after="0" w:line="228" w:lineRule="auto"/>
              <w:jc w:val="center"/>
              <w:rPr>
                <w:rFonts w:ascii="Times New Roman" w:hAnsi="Times New Roman" w:cs="Times New Roman"/>
                <w:color w:val="000000" w:themeColor="text1"/>
                <w:sz w:val="26"/>
                <w:szCs w:val="26"/>
                <w:vertAlign w:val="superscript"/>
              </w:rPr>
            </w:pPr>
            <w:r w:rsidRPr="0058130E">
              <w:rPr>
                <w:rFonts w:ascii="Times New Roman" w:hAnsi="Times New Roman" w:cs="Times New Roman"/>
                <w:color w:val="000000" w:themeColor="text1"/>
                <w:sz w:val="26"/>
                <w:szCs w:val="26"/>
                <w:vertAlign w:val="superscript"/>
              </w:rPr>
              <w:t>(орган державної влади / місцевого самоврядування, що виступає замовником закупівлі соціальної послуги)</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_______________________________________________________________</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(далі – Уповноважений орган), з другої сторони, та _____________________________________________________________________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надавача соціальних послуг)</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_____________________________________________________</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3642C7">
            <w:pPr>
              <w:spacing w:after="0" w:line="228"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(або  _______________________________________________________________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(прізвище, власне ім’я, по батькові (за наявності) фізичної особи – підприємця, що надає соціальні послуги)</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(далі – Надавач), з третьої сторони (далі – Сторони), згідно з Порядком реалізації експериментального проекту із закупівлі соціальної послуги з комплексного розвитку та догляду дітей з інвалідністю, затвердженим постановою Кабінету Міністрів України від 25 червня 2025 року № 764 (далі – Порядок), уклали цей договір про забезпечення надання соціальної послуги з комплексного розвитку та догляду дітей з інвалідністю (далі – Договір) про нижченаведене.</w:t>
            </w:r>
          </w:p>
          <w:p w:rsidR="008A43E2" w:rsidRPr="0058130E" w:rsidRDefault="008A43E2" w:rsidP="003642C7">
            <w:pPr>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Предмет Договору</w:t>
            </w:r>
          </w:p>
          <w:p w:rsidR="008A43E2" w:rsidRPr="0058130E" w:rsidRDefault="008A43E2" w:rsidP="003642C7">
            <w:pPr>
              <w:spacing w:before="120" w:after="0" w:line="228" w:lineRule="auto"/>
              <w:jc w:val="center"/>
              <w:rPr>
                <w:rFonts w:ascii="Times New Roman" w:hAnsi="Times New Roman" w:cs="Times New Roman"/>
                <w:color w:val="000000" w:themeColor="text1"/>
                <w:sz w:val="26"/>
                <w:szCs w:val="26"/>
              </w:rPr>
            </w:pP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 За цим Договором Надавач надає соціальну послугу з комплексного розвитку та догляду дітей з інвалідністю (далі – соціальна послуга) дітям віком від шести років, які мають інтелектуальні, функціональні (сенсорні, моторні, мовленнєві), фізичні, </w:t>
            </w:r>
            <w:proofErr w:type="spellStart"/>
            <w:r w:rsidRPr="0058130E">
              <w:rPr>
                <w:rFonts w:ascii="Times New Roman" w:hAnsi="Times New Roman" w:cs="Times New Roman"/>
                <w:color w:val="000000" w:themeColor="text1"/>
                <w:sz w:val="26"/>
                <w:szCs w:val="26"/>
              </w:rPr>
              <w:t>соціоадаптаційні</w:t>
            </w:r>
            <w:proofErr w:type="spellEnd"/>
            <w:r w:rsidRPr="0058130E">
              <w:rPr>
                <w:rFonts w:ascii="Times New Roman" w:hAnsi="Times New Roman" w:cs="Times New Roman"/>
                <w:color w:val="000000" w:themeColor="text1"/>
                <w:sz w:val="26"/>
                <w:szCs w:val="26"/>
              </w:rPr>
              <w:t xml:space="preserve"> труднощі або інші складні порушення розвитку, які за результатами комплексної психолого-педагогічної оцінки розвитку особи постійно або тимчасово потребують четвертого або п’ятого рівня підтримки </w:t>
            </w:r>
            <w:r w:rsidRPr="0058130E">
              <w:rPr>
                <w:rFonts w:ascii="Times New Roman" w:hAnsi="Times New Roman" w:cs="Times New Roman"/>
                <w:color w:val="000000" w:themeColor="text1"/>
                <w:sz w:val="26"/>
                <w:szCs w:val="26"/>
              </w:rPr>
              <w:lastRenderedPageBreak/>
              <w:t xml:space="preserve">особи з особливими освітніми потребами та створення для них сприятливих для навчання умов у закладі освіти, а також здійснення додаткових заходів, спрямованих на подолання їхніх освітніх </w:t>
            </w:r>
            <w:r w:rsidRPr="0058130E">
              <w:rPr>
                <w:rFonts w:ascii="Times New Roman" w:hAnsi="Times New Roman" w:cs="Times New Roman"/>
                <w:color w:val="000000" w:themeColor="text1"/>
                <w:sz w:val="26"/>
                <w:szCs w:val="26"/>
              </w:rPr>
              <w:br/>
              <w:t>труднощів (далі – отримувачі соціальної послуги), згідно з Порядком. Фонд оплачує надання такої послуги на умовах та в порядку, визначених Порядком. Уповноважений орган за рахунок бюджету територіальної громади та/або інших не заборонених законодавством джерел забезпечує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 а також реалізує інші завдання, передбачені Порядком.</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Перелік заходів, що становлять зміст соціальної послуги, визначається індивідуальними планами надання соціальної послуги отримувачів соціальної послуги, сформованих відповідно до Порядку.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Місце надання соціальної послуги (адреса): ______________________</w:t>
            </w:r>
          </w:p>
          <w:p w:rsidR="008A43E2" w:rsidRPr="0058130E" w:rsidRDefault="008A43E2" w:rsidP="003642C7">
            <w:pPr>
              <w:shd w:val="clear" w:color="auto" w:fill="FFFFFF"/>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3642C7">
            <w:pPr>
              <w:shd w:val="clear" w:color="auto" w:fill="FFFFFF"/>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3642C7">
            <w:pPr>
              <w:spacing w:after="0" w:line="228" w:lineRule="auto"/>
              <w:ind w:firstLine="709"/>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(зазначається територіальна громада та повна адреса приміщення, де надаватиметься соціальна послуга)</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Ціна Договору (запланована вартість соціальної послуги для Надавача) розраховується відповідно до Порядку.</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Ціна Договору становить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зокрема,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за місяць.</w:t>
            </w:r>
          </w:p>
          <w:p w:rsidR="008A43E2" w:rsidRPr="0058130E" w:rsidRDefault="008A43E2" w:rsidP="003642C7">
            <w:pPr>
              <w:shd w:val="clear" w:color="auto" w:fill="FFFFFF"/>
              <w:spacing w:before="120"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Права та обов’язки Сторін</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Фонд має право:</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Надавача належного своєчасного та у повному обсязі виконання своїх зобов’язань згідно з цим Договором і Порядком;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давати Надавачу письмові вказівки щодо використання бюджетних коштів відповідно до умов цього Договору та Порядку, які є обов’язковими для врахування Надавачем;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запитувати та отримувати від Надавача документи, пов’язані з наданням соціальної послуги, та робити з них копії, а також інформацію про відгуки про надання соціальної послуги;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запитувати та отримувати від Уповноваженого органу звітність щодо надання соціальної послуги та моніторингу надання соціальної послуги в територіальній громаді;</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односторонньої відмови від Договору відповідно до законодавства України та Договору.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Фонд зобов’язується: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умови Договору та Порядку;</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щомісяця здійснювати оплату за фактично надану соціальну послугу на підставі звіту Надавача про її надання у звітному періоді, вартість якої обчислюється відповідно до Порядку та Договору;</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розглядати звіти Надавача про надання соціальної послуги;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у межах повноважень сприяти Надавачу в наданні соціальної послуги;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повідомляти Надавача про всі обставини, що можуть істотно вплинути на виконання умов цього Договору.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7. Уповноважений орган має право:</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1) вимагати від Надавача належного, своєчасного та у повному обсязі виконання зобов’язань згідно з цим Договором і Порядком;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організовувати та проводити заходи з моніторингу та оцінювання якості надання соціальної послуги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8. Уповноважений орган зобов’язується: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визначені Порядком і згідно з цим Договором;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у межах повноважень сприяти Надавачу в наданні соціальної послуги;</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у межах повноважень сприяти закладу освіти під час участі в наданні соціальної послуги;</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здійснювати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надавати Фонду звіт щодо надання соціальної послуги та моніторингу надання соціальної послуги в територіальній громаді.</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9. Надавач має право:</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Фонду та Уповноваженого органу належного, своєчасного та у повному обсязі виконання зобов’язань згідно з цим Договором і Порядком;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отримувати належну, своєчасну та у повному обсязі оплату за надану соціальну послугу згідно з цим Договором і Порядком;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проводити звірку розрахунків згідно з цим Договором і Порядком.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10. Надавач зобов’язується: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надавача соціальної послуги, визначені Порядком, і згідно з цим Договором;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дотримуватись вимог до надавача соціальної послуги,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Порядком;</w:t>
            </w:r>
          </w:p>
          <w:p w:rsidR="008A43E2" w:rsidRPr="0058130E" w:rsidRDefault="008A43E2" w:rsidP="003642C7">
            <w:pPr>
              <w:widowControl w:val="0"/>
              <w:shd w:val="clear" w:color="auto" w:fill="FFFFFF"/>
              <w:spacing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3) забезпечувати професійний розвиток фахівців Надавача, які надають соціальну послугу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Порядку;</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4) дотримуватися принципів надання соціальних послуг та обов’язків Надавача соціальних послуг,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Звітність Надавача</w:t>
            </w:r>
          </w:p>
          <w:p w:rsidR="008A43E2" w:rsidRPr="0058130E" w:rsidRDefault="008A43E2" w:rsidP="003642C7">
            <w:pPr>
              <w:shd w:val="clear" w:color="auto" w:fill="FFFFFF"/>
              <w:spacing w:before="120" w:after="0" w:line="228" w:lineRule="auto"/>
              <w:jc w:val="center"/>
              <w:rPr>
                <w:rFonts w:ascii="Times New Roman" w:hAnsi="Times New Roman" w:cs="Times New Roman"/>
                <w:color w:val="000000" w:themeColor="text1"/>
                <w:sz w:val="26"/>
                <w:szCs w:val="26"/>
              </w:rPr>
            </w:pP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11. Надавач складає звіти про соціальну послугу, надану протягом календарного місяця (далі – звітний період), за формою, затвердженою Міністерством соціальної політики, сім’ї та єдності України відповідно до Порядку. Звіти про надання соціальної послуги включають інформацію щодо тривалості та періодичності здійснення заходів з урахуванням індивідуальних потреб отримувача соціальної послуги та копію підтвердження представниками дитини фактичного надання соціальної послуги. Звіт про соціальну послугу, надану у звітному періоді, є первинним документом (далі – звіт). До звітів додаються інформація про фактично виконані заходи під час надання соціальної послуги, відомості обліку відвідування отримувачів соціальної послуги та акт надання соціальної послуги. </w:t>
            </w:r>
          </w:p>
          <w:p w:rsidR="008A43E2" w:rsidRPr="0058130E" w:rsidRDefault="008A43E2" w:rsidP="003642C7">
            <w:pPr>
              <w:shd w:val="clear" w:color="auto" w:fill="FFFFFF"/>
              <w:spacing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Надавач зберігає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3642C7">
            <w:pPr>
              <w:shd w:val="clear" w:color="auto" w:fill="FFFFFF"/>
              <w:spacing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Уповноважений орган зобов’язується зберігати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12. Надавач подає Фонду звіти щомісяця до 5 числа наступного місяця та за грудень – до 18 грудня поточного року відповідно до Порядку.</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13. У разі виявлення </w:t>
            </w:r>
            <w:proofErr w:type="spellStart"/>
            <w:r w:rsidRPr="0058130E">
              <w:rPr>
                <w:rFonts w:ascii="Times New Roman" w:hAnsi="Times New Roman" w:cs="Times New Roman"/>
                <w:color w:val="000000" w:themeColor="text1"/>
                <w:sz w:val="26"/>
                <w:szCs w:val="26"/>
              </w:rPr>
              <w:t>невідповідностей</w:t>
            </w:r>
            <w:proofErr w:type="spellEnd"/>
            <w:r w:rsidRPr="0058130E">
              <w:rPr>
                <w:rFonts w:ascii="Times New Roman" w:hAnsi="Times New Roman" w:cs="Times New Roman"/>
                <w:color w:val="000000" w:themeColor="text1"/>
                <w:sz w:val="26"/>
                <w:szCs w:val="26"/>
              </w:rPr>
              <w:t>, зокрема, між даними звіту та інформацією, отриманою за результатами моніторингу, здійсненого відповідно до Порядку, Фонд інформує Надавача протягом 5 (п’яти) робочих днів з дати їх виявлення. Надавач розглядає інформацію про невідповідність, усуває невідповідності та подає уточнений звіт протягом 3 (трьох) робочих днів з дати її отримання.</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Оплата надання соціальної послуги</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14. Фонд оплачує надання соціальної послуги, що надається отримувачам соціальної послуги відповідно до Порядку та згідно з цим Договором.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щомісяця оплачує фактичну вартість соціальної послуги, яка обчислюється відповідно до Порядку та цього Договору.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15. Вартість фактично наданої соціальної послуги оплачується Фондом у межах бюджетних асигнувань, передбачених помісячним розписом асигнувань загального фонду державного бюджету, шляхом перерахування бюджетних коштів на рахунок Надавача, зазначений у Договорі.</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один раз на три місяці проводить заохочувальну доплату за результатами оцінки досягнення Надавачем індикаторів виконання умов договору в частині відвідуваності отримувачів соціальної послуги відповідно до їхніх індивідуальних планів надання соціальної послуги, розмір якої розраховується відповідно до Порядку та згідно з цим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16. Оплата надання соціальної послуги згідно з цим Договором здійснюється щомісяця до 20 числа (за грудень – до 25 грудня поточного року).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17. Розрахунки здійснюються в безготівковій формі згідно з цим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18. Ціна цього Договору може бути переглянута Сторонами шляхом укладення відповідної додаткової угоди до цього Договору.</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Відповідальність Сторін</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19. Сторони несуть відповідальність за невиконання, неналежне виконання умов цього Договору на підставах та в порядку, передбачених чинним законодавством України.</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20. У разі надання Надавачем неякісної соціальної послуги та/або соціальної послуги, що не відповідає вимогам Порядку, Надавач повертає Фонду кошти, отримані відповідно до Договору, за надання такої соціальної послуги. </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21. Якщо після оплати за звітом за результатами моніторингу, здійсненого відповідно до Порядку, буде встановлено невідповідність інформації, наданої у звіті, Надавач повертає Фонду надміру сплачені кошти протягом 3 (трьох) календарних днів з моменту отримання повідомлення від Фонду. </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Розв’язання спорів</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22. Спори між Сторонами розв’язуються шляхом ведення переговорів або в судовому порядку відповідно до вимог законодавства України.</w:t>
            </w:r>
          </w:p>
          <w:p w:rsidR="008A43E2" w:rsidRPr="0058130E" w:rsidRDefault="008A43E2" w:rsidP="003642C7">
            <w:pPr>
              <w:shd w:val="clear" w:color="auto" w:fill="FFFFFF"/>
              <w:spacing w:before="120" w:after="0" w:line="228" w:lineRule="auto"/>
              <w:ind w:firstLine="697"/>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Форс-мажорні обставини (обставини непереборної сили)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23. 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форс-мажорних обставин (обставин непереборної сили), що виникли після укладення цього Договору, які не могли бути передбачені Сторонами.</w:t>
            </w:r>
          </w:p>
          <w:p w:rsidR="008A43E2" w:rsidRPr="0058130E" w:rsidRDefault="008A43E2" w:rsidP="003642C7">
            <w:pPr>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24.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а саме: повстання, масові заворушення, а також викликані винятковими погодними умовами та стихійним лихом, а саме: епідемія, сильний шторм, циклон, ураган, торнадо, буревій, повінь, нагромадження снігу, ожеледь, град, землетрус, пожежа, інші стихійні лиха тощо.</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25. У разі виникнення обставин, визначених пунктом 23 цього Договору, Сторона, що зазнала їх впливу, повинна негайно за допомогою будь-яких доступних засобів повідомити про такі обставини інші Сторони не пізніше ніж упродовж 24 годин з моменту виникнення таких обставин шляхом надсилання письмового повідомлення про настання таких обставин. Повідомлення про обставини непереборної сили має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і на порядок виконання зобов’язань згідно з цим Договором у разі, коли це можливо. </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26. Якщо дія обставин, визначених пунктом 23 цього Договору, припиняється, Сторона, що зазнала їх впливу, зобов’язана негайно, але в будь-якому разі не пізніше ніж упродовж 24 годин з моменту, коли Сторона дізналась або повинна була дізнатися про припинення зазначених обставин, письмово повідомити іншим Сторонам про їх припинення. У такому повідомленні має міститись інформація про час припинення дії таких обставин і строк, протягом якого Сторона виконає свої зобов’язання за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27. Наявність і строк дії обставин непереборної сили підтверджуються сертифікатом Торгово-промислової палати України або уповноваженими нею регіональними торгово-промисловими палатами. </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28. Якщо Сторона, що зазнала дії обставин непереборної сили, не надіслала або несвоєчасно надіслала повідомлення про обставини непереборної сили, як це визначено пунктом 23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29. Якщо дія обставин, зазначених у пункті 23 цього Договору, триває більше ніж 30 календарних днів, кожна зі Сторін має право розірвати Договір та не несе відповідальність за таке розірвання за умови, що вона повідомить про це іншим Сторонам не пізніше ніж за 10 календарних днів до розірвання Договору.</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Строк дії Договору</w:t>
            </w:r>
          </w:p>
          <w:p w:rsidR="008A43E2" w:rsidRPr="0058130E" w:rsidRDefault="008A43E2" w:rsidP="003642C7">
            <w:pPr>
              <w:shd w:val="clear" w:color="auto" w:fill="FFFFFF"/>
              <w:spacing w:before="120" w:after="0" w:line="228" w:lineRule="auto"/>
              <w:jc w:val="center"/>
              <w:rPr>
                <w:rFonts w:ascii="Times New Roman" w:hAnsi="Times New Roman" w:cs="Times New Roman"/>
                <w:color w:val="000000" w:themeColor="text1"/>
                <w:sz w:val="26"/>
                <w:szCs w:val="26"/>
              </w:rPr>
            </w:pP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30. Цей Договір вважається укладеним та набирає чинності з дати його підписання Сторонами.</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31. Цей Договір діє з_________ до __________ року. </w:t>
            </w:r>
          </w:p>
          <w:p w:rsidR="008A43E2" w:rsidRPr="0058130E" w:rsidRDefault="008A43E2" w:rsidP="003642C7">
            <w:pPr>
              <w:shd w:val="clear" w:color="auto" w:fill="FFFFFF"/>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32. Дію Договору може бути достроково припинено на підставах, передбачених законом і Договором.</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Прикінцеві положення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33. Сторони повідомляють одна одну про зміну юридичної та/або поштової адреси, інших реквізитів, зазначених у цьому Договорі, протягом 10 календарних днів після настання відповідних змін.</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34. Будь-які зміни та доповнення до цього Договору вважаються чинними та обов’язковими для Сторін за умови їх підписання Сторонами.</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35. Одностороння відмова Надавача від Договору не допускається, крім випадків, передбачених цим Договором та законодавством України.</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b/>
                <w:sz w:val="26"/>
                <w:szCs w:val="26"/>
              </w:rPr>
            </w:pPr>
            <w:r w:rsidRPr="0058130E">
              <w:rPr>
                <w:rFonts w:ascii="Times New Roman" w:hAnsi="Times New Roman" w:cs="Times New Roman"/>
                <w:color w:val="000000" w:themeColor="text1"/>
                <w:sz w:val="26"/>
                <w:szCs w:val="26"/>
              </w:rPr>
              <w:t>36. Сторони несуть відповідальність за правильність зазначених у Договорі реквізитів та ризик настання несприятливих наслідків у разі неповідомлення іншим Сторонам про зміну своїх реквізитів.</w:t>
            </w:r>
          </w:p>
          <w:p w:rsidR="008A43E2" w:rsidRPr="0058130E" w:rsidRDefault="008A43E2" w:rsidP="003642C7">
            <w:pPr>
              <w:shd w:val="clear" w:color="auto" w:fill="FFFFFF"/>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Реквізити Сторін</w:t>
            </w:r>
          </w:p>
        </w:tc>
      </w:tr>
      <w:tr w:rsidR="008A43E2" w:rsidRPr="0058130E" w:rsidTr="00D53D83">
        <w:trPr>
          <w:trHeight w:val="6588"/>
        </w:trPr>
        <w:tc>
          <w:tcPr>
            <w:tcW w:w="2437" w:type="dxa"/>
            <w:tcMar>
              <w:top w:w="100" w:type="dxa"/>
              <w:left w:w="100" w:type="dxa"/>
              <w:bottom w:w="100" w:type="dxa"/>
              <w:right w:w="100" w:type="dxa"/>
            </w:tcMar>
            <w:hideMark/>
          </w:tcPr>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lastRenderedPageBreak/>
              <w:t>Фонд соціального захисту осіб з інвалідністю</w:t>
            </w: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Розрахунковий рахунок </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_________________________ </w:t>
            </w: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233" w:type="dxa"/>
            <w:gridSpan w:val="2"/>
            <w:tcMar>
              <w:top w:w="100" w:type="dxa"/>
              <w:left w:w="100" w:type="dxa"/>
              <w:bottom w:w="100" w:type="dxa"/>
              <w:right w:w="100" w:type="dxa"/>
            </w:tcMar>
            <w:hideMark/>
          </w:tcPr>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Надавач</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або реєстраційний номер облікової картки платника податків фізичної особи-підприємця</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Реквізити рахунка 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968" w:type="dxa"/>
            <w:tcMar>
              <w:top w:w="0" w:type="dxa"/>
              <w:left w:w="115" w:type="dxa"/>
              <w:bottom w:w="0" w:type="dxa"/>
              <w:right w:w="115" w:type="dxa"/>
            </w:tcMar>
            <w:hideMark/>
          </w:tcPr>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Уповноважений орган</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Розрахунковий рахунок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r>
      <w:tr w:rsidR="008A43E2" w:rsidRPr="0058130E" w:rsidTr="00D53D83">
        <w:trPr>
          <w:trHeight w:val="651"/>
        </w:trPr>
        <w:tc>
          <w:tcPr>
            <w:tcW w:w="2437" w:type="dxa"/>
            <w:tcMar>
              <w:top w:w="100" w:type="dxa"/>
              <w:left w:w="100" w:type="dxa"/>
              <w:bottom w:w="100" w:type="dxa"/>
              <w:right w:w="100" w:type="dxa"/>
            </w:tcMar>
            <w:hideMark/>
          </w:tcPr>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2214" w:type="dxa"/>
            <w:tcMar>
              <w:top w:w="100" w:type="dxa"/>
              <w:left w:w="100" w:type="dxa"/>
              <w:bottom w:w="100" w:type="dxa"/>
              <w:right w:w="100" w:type="dxa"/>
            </w:tcMar>
            <w:hideMark/>
          </w:tcPr>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4987" w:type="dxa"/>
            <w:gridSpan w:val="2"/>
            <w:tcMar>
              <w:top w:w="0" w:type="dxa"/>
              <w:left w:w="115" w:type="dxa"/>
              <w:bottom w:w="0" w:type="dxa"/>
              <w:right w:w="115" w:type="dxa"/>
            </w:tcMar>
            <w:hideMark/>
          </w:tcPr>
          <w:p w:rsidR="008A43E2" w:rsidRPr="00D53D83" w:rsidRDefault="008A43E2" w:rsidP="003642C7">
            <w:pPr>
              <w:pBdr>
                <w:bottom w:val="single" w:sz="12" w:space="1" w:color="auto"/>
              </w:pBdr>
              <w:spacing w:after="0" w:line="228" w:lineRule="auto"/>
              <w:jc w:val="center"/>
              <w:rPr>
                <w:rFonts w:ascii="Times New Roman" w:hAnsi="Times New Roman" w:cs="Times New Roman"/>
                <w:color w:val="000000" w:themeColor="text1"/>
                <w:sz w:val="24"/>
                <w:szCs w:val="24"/>
              </w:rPr>
            </w:pP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r>
    </w:tbl>
    <w:p w:rsidR="008A43E2" w:rsidRPr="0058130E" w:rsidRDefault="008A43E2" w:rsidP="003642C7">
      <w:pPr>
        <w:shd w:val="clear" w:color="auto" w:fill="FFFFFF"/>
        <w:spacing w:line="228" w:lineRule="auto"/>
        <w:jc w:val="center"/>
        <w:rPr>
          <w:b/>
          <w:bCs/>
          <w:color w:val="000000"/>
          <w:sz w:val="26"/>
          <w:szCs w:val="26"/>
        </w:rPr>
      </w:pPr>
    </w:p>
    <w:sectPr w:rsidR="008A43E2" w:rsidRPr="0058130E" w:rsidSect="003642C7">
      <w:headerReference w:type="default" r:id="rId7"/>
      <w:headerReference w:type="first" r:id="rId8"/>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D86" w:rsidRDefault="00FB4D86" w:rsidP="003642C7">
      <w:pPr>
        <w:spacing w:after="0" w:line="240" w:lineRule="auto"/>
      </w:pPr>
      <w:r>
        <w:separator/>
      </w:r>
    </w:p>
  </w:endnote>
  <w:endnote w:type="continuationSeparator" w:id="0">
    <w:p w:rsidR="00FB4D86" w:rsidRDefault="00FB4D86" w:rsidP="0036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D86" w:rsidRDefault="00FB4D86" w:rsidP="003642C7">
      <w:pPr>
        <w:spacing w:after="0" w:line="240" w:lineRule="auto"/>
      </w:pPr>
      <w:r>
        <w:separator/>
      </w:r>
    </w:p>
  </w:footnote>
  <w:footnote w:type="continuationSeparator" w:id="0">
    <w:p w:rsidR="00FB4D86" w:rsidRDefault="00FB4D86" w:rsidP="0036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517618"/>
      <w:docPartObj>
        <w:docPartGallery w:val="Page Numbers (Top of Page)"/>
        <w:docPartUnique/>
      </w:docPartObj>
    </w:sdtPr>
    <w:sdtContent>
      <w:p w:rsidR="003642C7" w:rsidRDefault="003642C7">
        <w:pPr>
          <w:pStyle w:val="a9"/>
          <w:jc w:val="center"/>
        </w:pPr>
        <w:r>
          <w:fldChar w:fldCharType="begin"/>
        </w:r>
        <w:r>
          <w:instrText>PAGE   \* MERGEFORMAT</w:instrText>
        </w:r>
        <w:r>
          <w:fldChar w:fldCharType="separate"/>
        </w:r>
        <w:r w:rsidR="00010AF0">
          <w:rPr>
            <w:noProof/>
          </w:rPr>
          <w:t>5</w:t>
        </w:r>
        <w:r>
          <w:fldChar w:fldCharType="end"/>
        </w:r>
      </w:p>
    </w:sdtContent>
  </w:sdt>
  <w:p w:rsidR="003642C7" w:rsidRDefault="003642C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C7" w:rsidRDefault="003642C7">
    <w:pPr>
      <w:pStyle w:val="a9"/>
      <w:jc w:val="center"/>
    </w:pPr>
  </w:p>
  <w:p w:rsidR="003642C7" w:rsidRDefault="003642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pos w:val="beneathText"/>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8C"/>
    <w:rsid w:val="00010AF0"/>
    <w:rsid w:val="000A6087"/>
    <w:rsid w:val="003642C7"/>
    <w:rsid w:val="0045141D"/>
    <w:rsid w:val="004B5E8C"/>
    <w:rsid w:val="0058130E"/>
    <w:rsid w:val="00593FFB"/>
    <w:rsid w:val="00823361"/>
    <w:rsid w:val="008718A0"/>
    <w:rsid w:val="008A43E2"/>
    <w:rsid w:val="00BA69F5"/>
    <w:rsid w:val="00CB02DE"/>
    <w:rsid w:val="00D53D83"/>
    <w:rsid w:val="00FB4D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D18D5"/>
  <w15:chartTrackingRefBased/>
  <w15:docId w15:val="{5F7FB3E5-D224-4410-A0D5-BCF1ECFA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3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8A43E2"/>
  </w:style>
  <w:style w:type="character" w:customStyle="1" w:styleId="rvts9">
    <w:name w:val="rvts9"/>
    <w:basedOn w:val="a0"/>
    <w:rsid w:val="008A43E2"/>
  </w:style>
  <w:style w:type="paragraph" w:customStyle="1" w:styleId="rvps6">
    <w:name w:val="rvps6"/>
    <w:basedOn w:val="a"/>
    <w:rsid w:val="008A43E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8A43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5">
    <w:name w:val="Текст виноски Знак"/>
    <w:basedOn w:val="a0"/>
    <w:link w:val="a4"/>
    <w:uiPriority w:val="99"/>
    <w:semiHidden/>
    <w:rsid w:val="008A43E2"/>
    <w:rPr>
      <w:rFonts w:ascii="Times New Roman" w:eastAsia="Times New Roman" w:hAnsi="Times New Roman" w:cs="Times New Roman"/>
      <w:sz w:val="20"/>
      <w:szCs w:val="20"/>
      <w:lang w:eastAsia="uk-UA"/>
    </w:rPr>
  </w:style>
  <w:style w:type="character" w:styleId="a6">
    <w:name w:val="footnote reference"/>
    <w:basedOn w:val="a0"/>
    <w:uiPriority w:val="99"/>
    <w:semiHidden/>
    <w:unhideWhenUsed/>
    <w:rsid w:val="008A43E2"/>
    <w:rPr>
      <w:vertAlign w:val="superscript"/>
    </w:rPr>
  </w:style>
  <w:style w:type="paragraph" w:styleId="a7">
    <w:name w:val="endnote text"/>
    <w:basedOn w:val="a"/>
    <w:link w:val="a8"/>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8">
    <w:name w:val="Текст кінцевої виноски Знак"/>
    <w:basedOn w:val="a0"/>
    <w:link w:val="a7"/>
    <w:uiPriority w:val="99"/>
    <w:semiHidden/>
    <w:rsid w:val="008A43E2"/>
    <w:rPr>
      <w:rFonts w:ascii="Times New Roman" w:eastAsia="Times New Roman" w:hAnsi="Times New Roman" w:cs="Times New Roman"/>
      <w:sz w:val="20"/>
      <w:szCs w:val="20"/>
      <w:lang w:eastAsia="uk-UA"/>
    </w:rPr>
  </w:style>
  <w:style w:type="table" w:customStyle="1" w:styleId="1">
    <w:name w:val="Сітка таблиці1"/>
    <w:basedOn w:val="a1"/>
    <w:next w:val="a3"/>
    <w:uiPriority w:val="39"/>
    <w:rsid w:val="008A43E2"/>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642C7"/>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642C7"/>
  </w:style>
  <w:style w:type="paragraph" w:styleId="ab">
    <w:name w:val="footer"/>
    <w:basedOn w:val="a"/>
    <w:link w:val="ac"/>
    <w:uiPriority w:val="99"/>
    <w:unhideWhenUsed/>
    <w:rsid w:val="003642C7"/>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64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3B91-FA5E-4E20-A0B9-C3068488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10154</Words>
  <Characters>5789</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Шульженко Світлана Сергіївна</dc:creator>
  <cp:keywords/>
  <dc:description/>
  <cp:lastModifiedBy>Local User</cp:lastModifiedBy>
  <cp:revision>5</cp:revision>
  <dcterms:created xsi:type="dcterms:W3CDTF">2026-01-06T09:03:00Z</dcterms:created>
  <dcterms:modified xsi:type="dcterms:W3CDTF">2026-01-30T08:58:00Z</dcterms:modified>
</cp:coreProperties>
</file>