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B7" w:rsidRPr="00210881" w:rsidRDefault="003728B7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3728B7" w:rsidRDefault="003728B7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925650">
        <w:rPr>
          <w:sz w:val="24"/>
          <w:szCs w:val="24"/>
          <w:lang w:eastAsia="uk-UA"/>
        </w:rPr>
        <w:t xml:space="preserve"> № 82</w:t>
      </w:r>
    </w:p>
    <w:p w:rsidR="003728B7" w:rsidRPr="00210881" w:rsidRDefault="00925650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«27»07.2021 </w:t>
      </w:r>
      <w:r w:rsidR="003728B7">
        <w:rPr>
          <w:sz w:val="24"/>
          <w:szCs w:val="24"/>
          <w:lang w:eastAsia="uk-UA"/>
        </w:rPr>
        <w:t>р.</w:t>
      </w:r>
    </w:p>
    <w:p w:rsidR="003728B7" w:rsidRDefault="003728B7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3728B7" w:rsidRPr="00210881" w:rsidRDefault="003728B7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3728B7" w:rsidRPr="00210881" w:rsidRDefault="003728B7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3728B7" w:rsidRDefault="003728B7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910812" w:rsidRPr="00910812" w:rsidRDefault="00910812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910812">
        <w:rPr>
          <w:b/>
          <w:sz w:val="28"/>
          <w:szCs w:val="28"/>
        </w:rPr>
        <w:t>Громадська організація «Громадське об’єднання незрячих фахівців «</w:t>
      </w:r>
      <w:proofErr w:type="spellStart"/>
      <w:r w:rsidRPr="00910812">
        <w:rPr>
          <w:b/>
          <w:sz w:val="28"/>
          <w:szCs w:val="28"/>
        </w:rPr>
        <w:t>Реаресурс</w:t>
      </w:r>
      <w:proofErr w:type="spellEnd"/>
      <w:r w:rsidRPr="00910812">
        <w:rPr>
          <w:b/>
          <w:sz w:val="28"/>
          <w:szCs w:val="28"/>
        </w:rPr>
        <w:t>»</w:t>
      </w:r>
    </w:p>
    <w:p w:rsidR="00460DB6" w:rsidRDefault="00910812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910812">
        <w:rPr>
          <w:b/>
          <w:sz w:val="28"/>
          <w:szCs w:val="28"/>
          <w:lang w:eastAsia="uk-UA"/>
        </w:rPr>
        <w:t>П</w:t>
      </w:r>
      <w:r w:rsidRPr="00910812">
        <w:rPr>
          <w:b/>
          <w:sz w:val="28"/>
          <w:szCs w:val="28"/>
          <w:lang w:eastAsia="uk-UA"/>
        </w:rPr>
        <w:t>роект</w:t>
      </w:r>
      <w:r w:rsidRPr="00910812">
        <w:rPr>
          <w:b/>
          <w:sz w:val="28"/>
          <w:szCs w:val="28"/>
          <w:lang w:eastAsia="uk-UA"/>
        </w:rPr>
        <w:t xml:space="preserve"> «</w:t>
      </w:r>
      <w:r w:rsidRPr="00910812">
        <w:rPr>
          <w:b/>
          <w:sz w:val="28"/>
          <w:szCs w:val="28"/>
          <w:lang w:eastAsia="uk-UA"/>
        </w:rPr>
        <w:t>Брайлівська абетка – перший крок до повноцінної інклюзії</w:t>
      </w:r>
      <w:r w:rsidRPr="00910812">
        <w:rPr>
          <w:b/>
          <w:sz w:val="28"/>
          <w:szCs w:val="28"/>
          <w:lang w:eastAsia="uk-UA"/>
        </w:rPr>
        <w:t>»</w:t>
      </w:r>
    </w:p>
    <w:p w:rsidR="003B6E33" w:rsidRPr="00910812" w:rsidRDefault="003B6E33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:rsidR="003728B7" w:rsidRPr="00F73967" w:rsidRDefault="003728B7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3728B7" w:rsidRPr="00F73967" w:rsidRDefault="003728B7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94"/>
        <w:gridCol w:w="1899"/>
        <w:gridCol w:w="1899"/>
        <w:gridCol w:w="2392"/>
        <w:gridCol w:w="2246"/>
      </w:tblGrid>
      <w:tr w:rsidR="003728B7" w:rsidRPr="00F73967" w:rsidTr="00A90382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3728B7" w:rsidRPr="00F73967" w:rsidTr="00A90382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3728B7" w:rsidRPr="00F73967" w:rsidTr="00A90382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Pr="006B2C57">
              <w:rPr>
                <w:sz w:val="24"/>
                <w:szCs w:val="24"/>
              </w:rPr>
              <w:t>Перший етап – розробка електронного макету абетки</w:t>
            </w:r>
            <w:r w:rsidR="006B2C57"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A56B65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серпень-вересень</w:t>
            </w:r>
            <w:r w:rsidR="003728B7">
              <w:rPr>
                <w:sz w:val="24"/>
                <w:szCs w:val="24"/>
                <w:lang w:eastAsia="uk-UA"/>
              </w:rPr>
              <w:t xml:space="preserve"> 2021 р.</w:t>
            </w:r>
          </w:p>
          <w:p w:rsidR="003728B7" w:rsidRPr="00F7396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6B2C5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6B2C57">
              <w:rPr>
                <w:sz w:val="24"/>
                <w:szCs w:val="24"/>
              </w:rPr>
              <w:t>Адаптація тексту та малюнків абетки  до сприйняття незрячими.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Результатом першого етапу буде розроблений електронний макет абетки для осіб з глибокими порушеннями зору</w:t>
            </w:r>
            <w:r w:rsidR="002F1CF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Розроблений електронний макет абетки буде підготований до виготовлення пілотного примірника абетки. Будуть враховані особливості сприйняття й отримання інформації особами з глибокими порушеннями зору.</w:t>
            </w:r>
          </w:p>
        </w:tc>
      </w:tr>
      <w:tr w:rsidR="003728B7" w:rsidRPr="00F73967" w:rsidTr="00A90382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Другий етап – виготовлення пілотного примірника абетки для незрячих</w:t>
            </w:r>
            <w:r w:rsidR="006B2C5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D838E8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вересень-жовтень</w:t>
            </w:r>
            <w:r w:rsidR="003728B7">
              <w:rPr>
                <w:sz w:val="24"/>
                <w:szCs w:val="24"/>
                <w:lang w:eastAsia="uk-UA"/>
              </w:rPr>
              <w:t xml:space="preserve"> 2021 р.</w:t>
            </w:r>
          </w:p>
          <w:p w:rsidR="003728B7" w:rsidRDefault="00D838E8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</w:t>
            </w:r>
            <w:r w:rsidR="003728B7">
              <w:rPr>
                <w:sz w:val="24"/>
                <w:szCs w:val="24"/>
                <w:lang w:eastAsia="uk-UA"/>
              </w:rPr>
              <w:t>. Київ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  <w:lang w:eastAsia="uk-UA"/>
              </w:rPr>
              <w:t>Макетування та редагування текстів і малюнків абетки</w:t>
            </w:r>
            <w:r w:rsidR="002671C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Результатом другого етапу буде виготовлений пілотний примірник абетки</w:t>
            </w:r>
            <w:r w:rsidR="002671C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Пілотний примірник дозволить визначити та усунути недоліки при розробці електронного макету. Це дозволить підібрати прості для сприйняття осіб з глибокими </w:t>
            </w:r>
            <w:r>
              <w:rPr>
                <w:sz w:val="24"/>
                <w:szCs w:val="24"/>
                <w:lang w:eastAsia="uk-UA"/>
              </w:rPr>
              <w:lastRenderedPageBreak/>
              <w:t>порушеннями зору (особливо дітей) малюнки і розташувати літери, відповідні малюнки та віршовані тексти в максимально зручний для сприйняття незрячими спосіб.</w:t>
            </w:r>
          </w:p>
        </w:tc>
      </w:tr>
      <w:tr w:rsidR="003728B7" w:rsidRPr="00F73967" w:rsidTr="00A90382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Третій етап – виготовлення та брошурування абетки для дітей та осіб з глибокими порушеннями зору та передача їх цільовій аудиторії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1B266C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жовтень-листопад</w:t>
            </w:r>
            <w:r w:rsidR="003728B7">
              <w:rPr>
                <w:sz w:val="24"/>
                <w:szCs w:val="24"/>
                <w:lang w:eastAsia="uk-UA"/>
              </w:rPr>
              <w:t xml:space="preserve"> 2021 р.</w:t>
            </w:r>
          </w:p>
          <w:p w:rsidR="003728B7" w:rsidRDefault="001B266C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</w:t>
            </w:r>
            <w:r w:rsidR="003728B7">
              <w:rPr>
                <w:sz w:val="24"/>
                <w:szCs w:val="24"/>
                <w:lang w:eastAsia="uk-UA"/>
              </w:rPr>
              <w:t>. Київ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Виготовлення абетки для незрячих. Передача абетки цільовій аудиторії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Результатом третього етапу буде виготовлення 150 примірників абетки для дітей з глибокими порушеннями зору. Абетку буде передано до обласних управлінь освіти та Департаменту освіти м. Києва з метою подальшої передачі за потребою у дитячі садочки чи навчальні заклади, де є діти з глибокими порушеннями зору. Передбачається передати абетку до 24 обласних управлінь освітою та до Департаменту освіти м. Києва. Орієнтовна кількість осіб, які будуть користуватися абеткою становить близько 4000 осіб, а в подальшому за потреби всі бажаючі.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Default="003728B7" w:rsidP="003F10B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Виготовлена абетка дозволит</w:t>
            </w:r>
            <w:r w:rsidR="00B00B43">
              <w:rPr>
                <w:sz w:val="24"/>
                <w:szCs w:val="24"/>
                <w:lang w:eastAsia="uk-UA"/>
              </w:rPr>
              <w:t>ь</w:t>
            </w:r>
            <w:r>
              <w:rPr>
                <w:sz w:val="24"/>
                <w:szCs w:val="24"/>
                <w:lang w:eastAsia="uk-UA"/>
              </w:rPr>
              <w:t xml:space="preserve"> дітям з глибокими порушеннями зору вивчати шрифт </w:t>
            </w:r>
            <w:proofErr w:type="spellStart"/>
            <w:r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. Батьки та вчителі зможуть безпосередньо долучитися до процесу оволодіння шрифтом </w:t>
            </w:r>
            <w:proofErr w:type="spellStart"/>
            <w:r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дітьми. Абетка може також стати в нагоді особам, які нещодавно втратили зір та розпочинають вивчення шрифту </w:t>
            </w:r>
            <w:proofErr w:type="spellStart"/>
            <w:r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3728B7" w:rsidRPr="00F73967" w:rsidRDefault="003728B7" w:rsidP="00A90382">
      <w:pPr>
        <w:spacing w:before="100" w:beforeAutospacing="1" w:after="100" w:afterAutospacing="1"/>
        <w:jc w:val="center"/>
        <w:rPr>
          <w:i/>
          <w:sz w:val="24"/>
          <w:szCs w:val="24"/>
          <w:lang w:eastAsia="uk-UA"/>
        </w:rPr>
      </w:pPr>
      <w:bookmarkStart w:id="3" w:name="n38"/>
      <w:bookmarkEnd w:id="3"/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3728B7" w:rsidRPr="00F73967" w:rsidRDefault="003728B7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4" w:name="n39"/>
      <w:bookmarkEnd w:id="4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71"/>
        <w:gridCol w:w="4759"/>
      </w:tblGrid>
      <w:tr w:rsidR="003728B7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5012F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Абетка сприятиме вивченню шрифту </w:t>
            </w:r>
            <w:proofErr w:type="spellStart"/>
            <w:r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дітьми з глибокими порушеннями зору в закладах освіти з інклюзивною формою навчання, що може суттєво полегшити засвоєння ними інформації та подальшу інтеграцію у суспільство.</w:t>
            </w:r>
          </w:p>
        </w:tc>
      </w:tr>
      <w:tr w:rsidR="003728B7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7C2BBE" w:rsidRDefault="003728B7" w:rsidP="005012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BBE">
              <w:rPr>
                <w:rFonts w:ascii="Times New Roman" w:hAnsi="Times New Roman"/>
                <w:sz w:val="24"/>
                <w:szCs w:val="24"/>
                <w:lang w:eastAsia="uk-UA"/>
              </w:rPr>
              <w:t>Довгострокові</w:t>
            </w:r>
            <w:r w:rsidRPr="007C2BBE">
              <w:rPr>
                <w:rFonts w:ascii="Times New Roman" w:hAnsi="Times New Roman"/>
                <w:sz w:val="24"/>
                <w:szCs w:val="24"/>
              </w:rPr>
              <w:t xml:space="preserve">   Реалізація проекту </w:t>
            </w:r>
            <w:r>
              <w:rPr>
                <w:rFonts w:ascii="Times New Roman" w:hAnsi="Times New Roman"/>
                <w:sz w:val="24"/>
                <w:szCs w:val="24"/>
              </w:rPr>
              <w:t>доводить</w:t>
            </w:r>
            <w:r w:rsidRPr="007C2BBE">
              <w:rPr>
                <w:rFonts w:ascii="Times New Roman" w:hAnsi="Times New Roman"/>
                <w:sz w:val="24"/>
                <w:szCs w:val="24"/>
              </w:rPr>
              <w:t xml:space="preserve">, що громадський сектор має вагомий вплив на </w:t>
            </w:r>
            <w:r w:rsidRPr="007C2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виконання державою вимог Конвенції ООН "про права </w:t>
            </w:r>
            <w:r>
              <w:rPr>
                <w:rFonts w:ascii="Times New Roman" w:hAnsi="Times New Roman"/>
                <w:sz w:val="24"/>
                <w:szCs w:val="24"/>
              </w:rPr>
              <w:t>осіб з інвалідністю</w:t>
            </w:r>
            <w:r w:rsidRPr="007C2BBE">
              <w:rPr>
                <w:rFonts w:ascii="Times New Roman" w:hAnsi="Times New Roman"/>
                <w:sz w:val="24"/>
                <w:szCs w:val="24"/>
              </w:rPr>
              <w:t>» у частині створення для них рівних можливостей доступу до якісної освіти. Такі конкретні дії є невід'ємною складовою подальшої розбудови в Україні громадянського суспільства.</w:t>
            </w:r>
          </w:p>
          <w:p w:rsidR="003728B7" w:rsidRPr="00F73967" w:rsidRDefault="003728B7" w:rsidP="005012F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7C2BBE">
              <w:rPr>
                <w:sz w:val="24"/>
                <w:szCs w:val="24"/>
                <w:lang w:eastAsia="uk-UA"/>
              </w:rPr>
              <w:t xml:space="preserve">Передача абетки державним управлінням освіти допоможе привернути увагу до проблем інклюзивної освіти незрячих дітей та </w:t>
            </w:r>
            <w:r>
              <w:rPr>
                <w:sz w:val="24"/>
                <w:szCs w:val="24"/>
                <w:lang w:eastAsia="uk-UA"/>
              </w:rPr>
              <w:t xml:space="preserve">сприяти забезпеченню </w:t>
            </w:r>
            <w:r w:rsidRPr="007C2BBE">
              <w:rPr>
                <w:sz w:val="24"/>
                <w:szCs w:val="24"/>
                <w:lang w:eastAsia="uk-UA"/>
              </w:rPr>
              <w:t>таких дітей літературою, надрукованою рельєфно</w:t>
            </w:r>
            <w:r w:rsidR="00B00B43">
              <w:rPr>
                <w:sz w:val="24"/>
                <w:szCs w:val="24"/>
                <w:lang w:eastAsia="uk-UA"/>
              </w:rPr>
              <w:t>-</w:t>
            </w:r>
            <w:r w:rsidRPr="007C2BBE">
              <w:rPr>
                <w:sz w:val="24"/>
                <w:szCs w:val="24"/>
                <w:lang w:eastAsia="uk-UA"/>
              </w:rPr>
              <w:t xml:space="preserve">крапковим шрифтом </w:t>
            </w:r>
            <w:proofErr w:type="spellStart"/>
            <w:r w:rsidRPr="007C2BBE"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 w:rsidRPr="007C2BBE">
              <w:rPr>
                <w:sz w:val="24"/>
                <w:szCs w:val="24"/>
                <w:lang w:eastAsia="uk-UA"/>
              </w:rPr>
              <w:t>. В свою чергу збільшення кількості такої літератури сприятиме підвищенню рівня грамотності та освіченості осіб з глибокими порушеннями зору, особливо дітей і молоді.</w:t>
            </w:r>
          </w:p>
        </w:tc>
      </w:tr>
      <w:tr w:rsidR="003728B7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5012F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 ході реалізації проекту передбачається виготовити 150 примірників абетки для дітей та осіб з глибокими порушеннями зору. Абетку передбачається передати до 24 обласних управлінь освіти та до Департаменту освіти м. Києва. Передбачається передати по 6 примірників до кожного з управлінь освіти. Кількість осіб, які зможуть скористатися абеткою  становить близько 4000 осіб, з них кількість осіб з глибокими порушеннями зору становить орієнтовно близько 1500 осіб. В подальшому всі, хто буде потребувати вивчення шрифту </w:t>
            </w:r>
            <w:proofErr w:type="spellStart"/>
            <w:r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3728B7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6810B4" w:rsidRDefault="003728B7" w:rsidP="00811BB4">
            <w:pPr>
              <w:tabs>
                <w:tab w:val="left" w:pos="540"/>
                <w:tab w:val="left" w:pos="720"/>
              </w:tabs>
              <w:jc w:val="both"/>
              <w:rPr>
                <w:sz w:val="24"/>
              </w:rPr>
            </w:pPr>
            <w:r w:rsidRPr="006810B4">
              <w:rPr>
                <w:sz w:val="24"/>
              </w:rPr>
              <w:t xml:space="preserve">Завдяки реалізації даного проекту виконавці впритул </w:t>
            </w:r>
            <w:r>
              <w:rPr>
                <w:sz w:val="24"/>
              </w:rPr>
              <w:t xml:space="preserve">наближаються </w:t>
            </w:r>
            <w:r w:rsidRPr="006810B4">
              <w:rPr>
                <w:sz w:val="24"/>
              </w:rPr>
              <w:t xml:space="preserve">до практичної допомоги дітям з глибокими порушеннями зору, які навчаються </w:t>
            </w:r>
            <w:proofErr w:type="spellStart"/>
            <w:r w:rsidRPr="006810B4">
              <w:rPr>
                <w:sz w:val="24"/>
              </w:rPr>
              <w:t>інклюзивно</w:t>
            </w:r>
            <w:proofErr w:type="spellEnd"/>
            <w:r w:rsidRPr="006810B4">
              <w:rPr>
                <w:sz w:val="24"/>
              </w:rPr>
              <w:t>.</w:t>
            </w:r>
          </w:p>
          <w:p w:rsidR="003728B7" w:rsidRPr="00F73967" w:rsidRDefault="003728B7" w:rsidP="00811BB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6810B4">
              <w:rPr>
                <w:sz w:val="24"/>
                <w:szCs w:val="24"/>
                <w:lang w:eastAsia="uk-UA"/>
              </w:rPr>
              <w:t xml:space="preserve">Виготовлення абетки сприятиме вивченню шрифту </w:t>
            </w:r>
            <w:proofErr w:type="spellStart"/>
            <w:r w:rsidRPr="006810B4"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 w:rsidRPr="006810B4">
              <w:rPr>
                <w:sz w:val="24"/>
                <w:szCs w:val="24"/>
                <w:lang w:eastAsia="uk-UA"/>
              </w:rPr>
              <w:t xml:space="preserve"> дітьми з глибокими порушеннями зору та особами, які щойно втратили зір. Абетка зробить вивчення шрифту </w:t>
            </w:r>
            <w:proofErr w:type="spellStart"/>
            <w:r>
              <w:rPr>
                <w:sz w:val="24"/>
                <w:szCs w:val="24"/>
                <w:lang w:eastAsia="uk-UA"/>
              </w:rPr>
              <w:t>Б</w:t>
            </w:r>
            <w:r w:rsidRPr="006810B4">
              <w:rPr>
                <w:sz w:val="24"/>
                <w:szCs w:val="24"/>
                <w:lang w:eastAsia="uk-UA"/>
              </w:rPr>
              <w:t>райля</w:t>
            </w:r>
            <w:proofErr w:type="spellEnd"/>
            <w:r w:rsidRPr="006810B4">
              <w:rPr>
                <w:sz w:val="24"/>
                <w:szCs w:val="24"/>
                <w:lang w:eastAsia="uk-UA"/>
              </w:rPr>
              <w:t xml:space="preserve"> цікавим і пізнавальним. Також абетка полегшить допомогу у вивченні шрифту </w:t>
            </w:r>
            <w:proofErr w:type="spellStart"/>
            <w:r w:rsidRPr="006810B4"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 w:rsidRPr="006810B4">
              <w:rPr>
                <w:sz w:val="24"/>
                <w:szCs w:val="24"/>
                <w:lang w:eastAsia="uk-UA"/>
              </w:rPr>
              <w:t xml:space="preserve"> асистентам </w:t>
            </w:r>
            <w:r>
              <w:rPr>
                <w:sz w:val="24"/>
                <w:szCs w:val="24"/>
                <w:lang w:eastAsia="uk-UA"/>
              </w:rPr>
              <w:t xml:space="preserve">(батьками, вихователями, вчителями) </w:t>
            </w:r>
            <w:r w:rsidRPr="006810B4">
              <w:rPr>
                <w:sz w:val="24"/>
                <w:szCs w:val="24"/>
                <w:lang w:eastAsia="uk-UA"/>
              </w:rPr>
              <w:t>незрячих дітей.</w:t>
            </w:r>
          </w:p>
        </w:tc>
      </w:tr>
    </w:tbl>
    <w:p w:rsidR="003728B7" w:rsidRPr="00F73967" w:rsidRDefault="003728B7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6" w:name="n41"/>
      <w:bookmarkEnd w:id="6"/>
      <w:r w:rsidRPr="00F73967">
        <w:rPr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:rsidR="003728B7" w:rsidRPr="00F73967" w:rsidRDefault="003728B7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7" w:name="n42"/>
      <w:bookmarkEnd w:id="7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97"/>
        <w:gridCol w:w="3833"/>
      </w:tblGrid>
      <w:tr w:rsidR="003728B7" w:rsidRPr="00F7396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 xml:space="preserve">(зазначаються найменування засобів масової інформації, строки та методи </w:t>
            </w:r>
            <w:r w:rsidRPr="00F73967">
              <w:rPr>
                <w:sz w:val="24"/>
                <w:szCs w:val="24"/>
                <w:lang w:eastAsia="uk-UA"/>
              </w:rPr>
              <w:lastRenderedPageBreak/>
              <w:t>інформування громадськості)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C72374" w:rsidRDefault="003728B7" w:rsidP="00F71FF5">
            <w:pPr>
              <w:tabs>
                <w:tab w:val="left" w:pos="540"/>
                <w:tab w:val="left" w:pos="720"/>
              </w:tabs>
              <w:jc w:val="both"/>
              <w:rPr>
                <w:sz w:val="24"/>
              </w:rPr>
            </w:pPr>
            <w:r w:rsidRPr="00C72374">
              <w:rPr>
                <w:sz w:val="24"/>
              </w:rPr>
              <w:lastRenderedPageBreak/>
              <w:t xml:space="preserve">Інформаційні листи дотичним до проблематики проекту державним органам </w:t>
            </w:r>
            <w:r w:rsidR="00B00B43">
              <w:rPr>
                <w:sz w:val="24"/>
              </w:rPr>
              <w:t xml:space="preserve">управління, державним </w:t>
            </w:r>
            <w:r w:rsidR="00B00B43">
              <w:rPr>
                <w:sz w:val="24"/>
              </w:rPr>
              <w:lastRenderedPageBreak/>
              <w:t>установам.</w:t>
            </w:r>
          </w:p>
          <w:p w:rsidR="003728B7" w:rsidRPr="00C72374" w:rsidRDefault="003728B7" w:rsidP="00F71FF5">
            <w:pPr>
              <w:tabs>
                <w:tab w:val="left" w:pos="540"/>
                <w:tab w:val="left" w:pos="720"/>
              </w:tabs>
              <w:jc w:val="both"/>
              <w:rPr>
                <w:sz w:val="24"/>
              </w:rPr>
            </w:pPr>
            <w:r w:rsidRPr="00C72374">
              <w:rPr>
                <w:sz w:val="24"/>
              </w:rPr>
              <w:t>Інформаційні листи дотичним до проблематики проекту недержавним устано</w:t>
            </w:r>
            <w:r w:rsidR="00B00B43">
              <w:rPr>
                <w:sz w:val="24"/>
              </w:rPr>
              <w:t>вам та громадським організаціям.</w:t>
            </w:r>
          </w:p>
          <w:p w:rsidR="003728B7" w:rsidRPr="00C72374" w:rsidRDefault="003728B7" w:rsidP="00F71FF5">
            <w:pPr>
              <w:tabs>
                <w:tab w:val="left" w:pos="540"/>
                <w:tab w:val="left" w:pos="720"/>
              </w:tabs>
              <w:jc w:val="both"/>
              <w:rPr>
                <w:sz w:val="24"/>
              </w:rPr>
            </w:pPr>
            <w:r w:rsidRPr="00C72374">
              <w:rPr>
                <w:sz w:val="24"/>
              </w:rPr>
              <w:t xml:space="preserve">Інформаційні повідомлення на спеціалізованих </w:t>
            </w:r>
            <w:r>
              <w:rPr>
                <w:sz w:val="24"/>
              </w:rPr>
              <w:t>Інтернет-ресурсах</w:t>
            </w:r>
            <w:r w:rsidR="00B00B43">
              <w:rPr>
                <w:sz w:val="24"/>
              </w:rPr>
              <w:t>.</w:t>
            </w:r>
          </w:p>
          <w:p w:rsidR="003728B7" w:rsidRDefault="003728B7" w:rsidP="00F71FF5">
            <w:pPr>
              <w:jc w:val="both"/>
              <w:rPr>
                <w:sz w:val="24"/>
              </w:rPr>
            </w:pPr>
            <w:r w:rsidRPr="00C72374">
              <w:rPr>
                <w:sz w:val="24"/>
              </w:rPr>
              <w:t xml:space="preserve">Викладення відеоматеріалів </w:t>
            </w:r>
            <w:r>
              <w:rPr>
                <w:sz w:val="24"/>
              </w:rPr>
              <w:t>в мережі Інтернет</w:t>
            </w:r>
            <w:r w:rsidRPr="00C72374">
              <w:rPr>
                <w:sz w:val="24"/>
              </w:rPr>
              <w:t>.</w:t>
            </w:r>
          </w:p>
          <w:p w:rsidR="003728B7" w:rsidRPr="00F73967" w:rsidRDefault="003728B7" w:rsidP="00F71FF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Широкого висвітлення у ЗМІ реалізація проекту не передбачає.</w:t>
            </w:r>
          </w:p>
        </w:tc>
      </w:tr>
      <w:tr w:rsidR="003728B7" w:rsidRPr="00F7396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F71FF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Після завершення реалізації проекту в разі схвальних відгуків про виготовлений продукт і потребу збільшити кількість примірників передбачається залучення державних управлінь освіти та</w:t>
            </w:r>
            <w:r w:rsidR="00B00B43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закладів, де перебувають або навчаються діти з глибокими порушеннями зору до замовлень необхідної літератури шрифтом </w:t>
            </w:r>
            <w:proofErr w:type="spellStart"/>
            <w:r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3728B7" w:rsidRPr="00F7396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8B7" w:rsidRPr="00F73967" w:rsidRDefault="003728B7" w:rsidP="00F71FF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4177CB">
              <w:rPr>
                <w:sz w:val="24"/>
                <w:szCs w:val="24"/>
                <w:lang w:eastAsia="uk-UA"/>
              </w:rPr>
              <w:t xml:space="preserve">Протягом реалізації проекту </w:t>
            </w:r>
            <w:r>
              <w:rPr>
                <w:sz w:val="24"/>
              </w:rPr>
              <w:t xml:space="preserve">про виготовлення абетки для </w:t>
            </w:r>
            <w:r w:rsidRPr="004177CB">
              <w:rPr>
                <w:sz w:val="24"/>
              </w:rPr>
              <w:t xml:space="preserve">дітей з </w:t>
            </w:r>
            <w:r>
              <w:rPr>
                <w:sz w:val="24"/>
              </w:rPr>
              <w:t xml:space="preserve">глибокими порушеннями </w:t>
            </w:r>
            <w:r w:rsidRPr="004177CB">
              <w:rPr>
                <w:sz w:val="24"/>
              </w:rPr>
              <w:t xml:space="preserve">зору </w:t>
            </w:r>
            <w:r>
              <w:rPr>
                <w:sz w:val="24"/>
              </w:rPr>
              <w:t xml:space="preserve">передбачається інформувати </w:t>
            </w:r>
            <w:r w:rsidRPr="004177CB">
              <w:rPr>
                <w:sz w:val="24"/>
              </w:rPr>
              <w:t xml:space="preserve"> в усній та письмовій формі недержавні громадські організації, які досліджують проблеми інклюзивного навчання дітей з обмеженими можливостями.</w:t>
            </w:r>
          </w:p>
        </w:tc>
      </w:tr>
    </w:tbl>
    <w:p w:rsidR="003728B7" w:rsidRDefault="003728B7" w:rsidP="00B00B43">
      <w:pPr>
        <w:spacing w:before="100" w:beforeAutospacing="1" w:after="100" w:afterAutospacing="1"/>
        <w:ind w:left="-907"/>
        <w:jc w:val="center"/>
      </w:pPr>
      <w:bookmarkStart w:id="9" w:name="n44"/>
      <w:bookmarkStart w:id="10" w:name="_GoBack"/>
      <w:bookmarkEnd w:id="9"/>
      <w:bookmarkEnd w:id="10"/>
    </w:p>
    <w:sectPr w:rsidR="003728B7" w:rsidSect="00194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881"/>
    <w:rsid w:val="00025DC7"/>
    <w:rsid w:val="00025F81"/>
    <w:rsid w:val="00065AC3"/>
    <w:rsid w:val="000708B8"/>
    <w:rsid w:val="00081F46"/>
    <w:rsid w:val="000C68DC"/>
    <w:rsid w:val="000D20D8"/>
    <w:rsid w:val="000E4864"/>
    <w:rsid w:val="000E548E"/>
    <w:rsid w:val="000F5F58"/>
    <w:rsid w:val="001250B3"/>
    <w:rsid w:val="00146E95"/>
    <w:rsid w:val="001576CE"/>
    <w:rsid w:val="0016265A"/>
    <w:rsid w:val="00165C2D"/>
    <w:rsid w:val="00171009"/>
    <w:rsid w:val="00176A4B"/>
    <w:rsid w:val="00194669"/>
    <w:rsid w:val="001A5EEE"/>
    <w:rsid w:val="001B266C"/>
    <w:rsid w:val="001C2714"/>
    <w:rsid w:val="001D5B90"/>
    <w:rsid w:val="001E7DC7"/>
    <w:rsid w:val="001F339E"/>
    <w:rsid w:val="00210881"/>
    <w:rsid w:val="00213FBE"/>
    <w:rsid w:val="002665F5"/>
    <w:rsid w:val="002671C5"/>
    <w:rsid w:val="00275408"/>
    <w:rsid w:val="002771B0"/>
    <w:rsid w:val="00281FC4"/>
    <w:rsid w:val="0029690A"/>
    <w:rsid w:val="002976B9"/>
    <w:rsid w:val="002B06BD"/>
    <w:rsid w:val="002B1F4F"/>
    <w:rsid w:val="002C3703"/>
    <w:rsid w:val="002E51CB"/>
    <w:rsid w:val="002E5D11"/>
    <w:rsid w:val="002F1CF7"/>
    <w:rsid w:val="002F2FE5"/>
    <w:rsid w:val="0031635E"/>
    <w:rsid w:val="00362A63"/>
    <w:rsid w:val="003728B7"/>
    <w:rsid w:val="0037433D"/>
    <w:rsid w:val="003774FE"/>
    <w:rsid w:val="003A681C"/>
    <w:rsid w:val="003B28BF"/>
    <w:rsid w:val="003B6E33"/>
    <w:rsid w:val="003C0B61"/>
    <w:rsid w:val="003D5B4D"/>
    <w:rsid w:val="003F10B8"/>
    <w:rsid w:val="003F1B42"/>
    <w:rsid w:val="004177CB"/>
    <w:rsid w:val="004570E2"/>
    <w:rsid w:val="00460DB6"/>
    <w:rsid w:val="00462142"/>
    <w:rsid w:val="004A6A23"/>
    <w:rsid w:val="004B03B8"/>
    <w:rsid w:val="004B2710"/>
    <w:rsid w:val="004C1D32"/>
    <w:rsid w:val="004C41E7"/>
    <w:rsid w:val="004E0564"/>
    <w:rsid w:val="004E43F1"/>
    <w:rsid w:val="004F211A"/>
    <w:rsid w:val="005012FE"/>
    <w:rsid w:val="0050513B"/>
    <w:rsid w:val="00505C59"/>
    <w:rsid w:val="0051777A"/>
    <w:rsid w:val="00563405"/>
    <w:rsid w:val="00590236"/>
    <w:rsid w:val="00592696"/>
    <w:rsid w:val="005E2C37"/>
    <w:rsid w:val="005F675E"/>
    <w:rsid w:val="00671664"/>
    <w:rsid w:val="006810B4"/>
    <w:rsid w:val="00683D5D"/>
    <w:rsid w:val="0068405A"/>
    <w:rsid w:val="00693EE7"/>
    <w:rsid w:val="006B2C57"/>
    <w:rsid w:val="006C0981"/>
    <w:rsid w:val="006E609E"/>
    <w:rsid w:val="00704334"/>
    <w:rsid w:val="0071319D"/>
    <w:rsid w:val="00717210"/>
    <w:rsid w:val="00722679"/>
    <w:rsid w:val="007A074D"/>
    <w:rsid w:val="007B3831"/>
    <w:rsid w:val="007C2301"/>
    <w:rsid w:val="007C2BBE"/>
    <w:rsid w:val="007D5898"/>
    <w:rsid w:val="007E3367"/>
    <w:rsid w:val="007E398A"/>
    <w:rsid w:val="007F70BD"/>
    <w:rsid w:val="008062F6"/>
    <w:rsid w:val="00811BB4"/>
    <w:rsid w:val="00831167"/>
    <w:rsid w:val="00846068"/>
    <w:rsid w:val="00875F10"/>
    <w:rsid w:val="008773D0"/>
    <w:rsid w:val="00883573"/>
    <w:rsid w:val="008A70A7"/>
    <w:rsid w:val="00910812"/>
    <w:rsid w:val="00923A7D"/>
    <w:rsid w:val="00925650"/>
    <w:rsid w:val="00954829"/>
    <w:rsid w:val="009B5844"/>
    <w:rsid w:val="009D16EA"/>
    <w:rsid w:val="009D342A"/>
    <w:rsid w:val="00A32ED4"/>
    <w:rsid w:val="00A4221C"/>
    <w:rsid w:val="00A55053"/>
    <w:rsid w:val="00A56B65"/>
    <w:rsid w:val="00A621A1"/>
    <w:rsid w:val="00A82ABD"/>
    <w:rsid w:val="00A85ACE"/>
    <w:rsid w:val="00A9008F"/>
    <w:rsid w:val="00A90382"/>
    <w:rsid w:val="00AC4234"/>
    <w:rsid w:val="00AE0F22"/>
    <w:rsid w:val="00AE2CAC"/>
    <w:rsid w:val="00AF3AD3"/>
    <w:rsid w:val="00B00B43"/>
    <w:rsid w:val="00BA626A"/>
    <w:rsid w:val="00BB3A60"/>
    <w:rsid w:val="00BD1BD7"/>
    <w:rsid w:val="00BF0E2B"/>
    <w:rsid w:val="00BF47FF"/>
    <w:rsid w:val="00C027EA"/>
    <w:rsid w:val="00C1654A"/>
    <w:rsid w:val="00C22157"/>
    <w:rsid w:val="00C3139E"/>
    <w:rsid w:val="00C72374"/>
    <w:rsid w:val="00C75B3F"/>
    <w:rsid w:val="00C953CA"/>
    <w:rsid w:val="00CC05E7"/>
    <w:rsid w:val="00CF5F13"/>
    <w:rsid w:val="00D21CEC"/>
    <w:rsid w:val="00D34289"/>
    <w:rsid w:val="00D34C40"/>
    <w:rsid w:val="00D838E8"/>
    <w:rsid w:val="00D97494"/>
    <w:rsid w:val="00DB271F"/>
    <w:rsid w:val="00DB6794"/>
    <w:rsid w:val="00DD164E"/>
    <w:rsid w:val="00DD4F5D"/>
    <w:rsid w:val="00E0559E"/>
    <w:rsid w:val="00E45B72"/>
    <w:rsid w:val="00E63CF4"/>
    <w:rsid w:val="00EA3B80"/>
    <w:rsid w:val="00F1563F"/>
    <w:rsid w:val="00F20903"/>
    <w:rsid w:val="00F216B0"/>
    <w:rsid w:val="00F30A50"/>
    <w:rsid w:val="00F4209F"/>
    <w:rsid w:val="00F4320B"/>
    <w:rsid w:val="00F47B74"/>
    <w:rsid w:val="00F638BC"/>
    <w:rsid w:val="00F71FF5"/>
    <w:rsid w:val="00F73967"/>
    <w:rsid w:val="00F93B0A"/>
    <w:rsid w:val="00FA2736"/>
    <w:rsid w:val="00FD0DF0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E5EC1"/>
  <w15:docId w15:val="{958CB4BB-64A2-4635-81CA-8F38148B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31167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165C2D"/>
    <w:rPr>
      <w:rFonts w:ascii="Courier New" w:hAnsi="Courier New" w:cs="Courier New"/>
      <w:sz w:val="20"/>
      <w:szCs w:val="20"/>
      <w:lang w:val="uk-UA"/>
    </w:rPr>
  </w:style>
  <w:style w:type="paragraph" w:styleId="2">
    <w:name w:val="Body Text 2"/>
    <w:basedOn w:val="a"/>
    <w:link w:val="20"/>
    <w:uiPriority w:val="99"/>
    <w:rsid w:val="00831167"/>
    <w:pPr>
      <w:spacing w:after="120" w:line="480" w:lineRule="auto"/>
    </w:pPr>
    <w:rPr>
      <w:rFonts w:eastAsia="Calibri"/>
    </w:rPr>
  </w:style>
  <w:style w:type="character" w:customStyle="1" w:styleId="20">
    <w:name w:val="Основний текст 2 Знак"/>
    <w:link w:val="2"/>
    <w:uiPriority w:val="99"/>
    <w:semiHidden/>
    <w:locked/>
    <w:rsid w:val="00165C2D"/>
    <w:rPr>
      <w:rFonts w:ascii="Times New Roman" w:hAnsi="Times New Roman" w:cs="Times New Roman"/>
      <w:sz w:val="20"/>
      <w:szCs w:val="20"/>
      <w:lang w:val="uk-UA"/>
    </w:rPr>
  </w:style>
  <w:style w:type="character" w:customStyle="1" w:styleId="a4">
    <w:name w:val="Текст Знак"/>
    <w:link w:val="a3"/>
    <w:uiPriority w:val="99"/>
    <w:semiHidden/>
    <w:locked/>
    <w:rsid w:val="00831167"/>
    <w:rPr>
      <w:rFonts w:ascii="Courier New" w:hAnsi="Courier New"/>
      <w:lang w:val="uk-UA" w:eastAsia="ru-RU"/>
    </w:rPr>
  </w:style>
  <w:style w:type="character" w:styleId="a5">
    <w:name w:val="Hyperlink"/>
    <w:uiPriority w:val="99"/>
    <w:rsid w:val="00E0559E"/>
    <w:rPr>
      <w:rFonts w:cs="Times New Roman"/>
      <w:color w:val="0000FF"/>
      <w:u w:val="single"/>
    </w:rPr>
  </w:style>
  <w:style w:type="character" w:customStyle="1" w:styleId="a6">
    <w:name w:val="Знак Знак"/>
    <w:uiPriority w:val="99"/>
    <w:semiHidden/>
    <w:locked/>
    <w:rsid w:val="00FD0DF0"/>
    <w:rPr>
      <w:rFonts w:ascii="Courier New" w:hAnsi="Courier New"/>
      <w:lang w:val="uk-UA" w:eastAsia="ru-RU"/>
    </w:rPr>
  </w:style>
  <w:style w:type="character" w:customStyle="1" w:styleId="21">
    <w:name w:val="Основной текст (2)_"/>
    <w:link w:val="22"/>
    <w:rsid w:val="002754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5408"/>
    <w:pPr>
      <w:widowControl w:val="0"/>
      <w:shd w:val="clear" w:color="auto" w:fill="FFFFFF"/>
      <w:spacing w:after="540" w:line="322" w:lineRule="exact"/>
    </w:pPr>
    <w:rPr>
      <w:sz w:val="28"/>
      <w:szCs w:val="28"/>
      <w:lang w:val="ru-RU"/>
    </w:rPr>
  </w:style>
  <w:style w:type="table" w:styleId="a7">
    <w:name w:val="Table Grid"/>
    <w:basedOn w:val="a1"/>
    <w:uiPriority w:val="39"/>
    <w:locked/>
    <w:rsid w:val="0027540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4337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Вікторівна Роденко</dc:creator>
  <cp:keywords/>
  <dc:description/>
  <cp:lastModifiedBy>Роденко Ольга Вікторівна</cp:lastModifiedBy>
  <cp:revision>82</cp:revision>
  <dcterms:created xsi:type="dcterms:W3CDTF">2021-06-04T11:08:00Z</dcterms:created>
  <dcterms:modified xsi:type="dcterms:W3CDTF">2021-08-11T14:09:00Z</dcterms:modified>
</cp:coreProperties>
</file>