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42" w:rsidRDefault="00164AA9">
      <w:pPr>
        <w:ind w:left="4248" w:firstLine="708"/>
        <w:rPr>
          <w:sz w:val="24"/>
          <w:szCs w:val="24"/>
        </w:rPr>
      </w:pPr>
      <w:r>
        <w:rPr>
          <w:sz w:val="24"/>
          <w:szCs w:val="24"/>
        </w:rPr>
        <w:t>Додаток 1</w:t>
      </w:r>
    </w:p>
    <w:p w:rsidR="00176642" w:rsidRDefault="00164AA9">
      <w:pPr>
        <w:ind w:left="4956"/>
        <w:rPr>
          <w:sz w:val="24"/>
          <w:szCs w:val="24"/>
        </w:rPr>
      </w:pPr>
      <w:r>
        <w:rPr>
          <w:sz w:val="24"/>
          <w:szCs w:val="24"/>
        </w:rPr>
        <w:t>до Договору про виконання (реалізацію) прогр</w:t>
      </w:r>
      <w:r w:rsidR="00770ABF">
        <w:rPr>
          <w:sz w:val="24"/>
          <w:szCs w:val="24"/>
        </w:rPr>
        <w:t>ами (проекту, заходу) № 91</w:t>
      </w:r>
    </w:p>
    <w:p w:rsidR="00176642" w:rsidRDefault="00770ABF">
      <w:pPr>
        <w:ind w:left="4956"/>
        <w:rPr>
          <w:sz w:val="24"/>
          <w:szCs w:val="24"/>
        </w:rPr>
      </w:pPr>
      <w:r>
        <w:rPr>
          <w:sz w:val="24"/>
          <w:szCs w:val="24"/>
        </w:rPr>
        <w:t>від «28</w:t>
      </w:r>
      <w:r w:rsidR="00164AA9">
        <w:rPr>
          <w:sz w:val="24"/>
          <w:szCs w:val="24"/>
        </w:rPr>
        <w:t xml:space="preserve">» </w:t>
      </w:r>
      <w:r>
        <w:rPr>
          <w:sz w:val="24"/>
          <w:szCs w:val="24"/>
        </w:rPr>
        <w:t>07.2021 р.</w:t>
      </w:r>
    </w:p>
    <w:p w:rsidR="00176642" w:rsidRDefault="00176642">
      <w:pPr>
        <w:ind w:left="4248" w:firstLine="708"/>
        <w:rPr>
          <w:sz w:val="24"/>
          <w:szCs w:val="24"/>
        </w:rPr>
      </w:pPr>
    </w:p>
    <w:p w:rsidR="00176642" w:rsidRDefault="00164AA9">
      <w:pPr>
        <w:ind w:left="4248" w:firstLine="708"/>
        <w:rPr>
          <w:sz w:val="24"/>
          <w:szCs w:val="24"/>
        </w:rPr>
      </w:pPr>
      <w:r>
        <w:rPr>
          <w:sz w:val="24"/>
          <w:szCs w:val="24"/>
        </w:rPr>
        <w:t>ЗАТВЕРДЖЕНО</w:t>
      </w:r>
    </w:p>
    <w:p w:rsidR="00176642" w:rsidRDefault="00164AA9">
      <w:pPr>
        <w:ind w:left="4956"/>
        <w:rPr>
          <w:sz w:val="24"/>
          <w:szCs w:val="24"/>
        </w:rPr>
      </w:pPr>
      <w:r>
        <w:rPr>
          <w:sz w:val="24"/>
          <w:szCs w:val="24"/>
        </w:rPr>
        <w:t>Наказ Фонду соціального захисту                                                                                   інвалідів від 10.12.2020 № 111</w:t>
      </w:r>
    </w:p>
    <w:p w:rsidR="00176642" w:rsidRDefault="00176642">
      <w:pPr>
        <w:spacing w:after="280"/>
        <w:jc w:val="center"/>
        <w:rPr>
          <w:b/>
          <w:sz w:val="24"/>
          <w:szCs w:val="24"/>
        </w:rPr>
      </w:pPr>
    </w:p>
    <w:p w:rsidR="00902A29" w:rsidRPr="00902A29" w:rsidRDefault="00902A29">
      <w:pPr>
        <w:spacing w:after="280"/>
        <w:jc w:val="center"/>
        <w:rPr>
          <w:b/>
          <w:sz w:val="28"/>
          <w:szCs w:val="28"/>
        </w:rPr>
      </w:pPr>
      <w:r w:rsidRPr="00902A29">
        <w:rPr>
          <w:b/>
          <w:sz w:val="28"/>
          <w:szCs w:val="28"/>
        </w:rPr>
        <w:t>Громадська організація «Громадський рух «Соціальна єдність»</w:t>
      </w:r>
    </w:p>
    <w:p w:rsidR="00902A29" w:rsidRPr="00902A29" w:rsidRDefault="00902A29">
      <w:pPr>
        <w:spacing w:after="280"/>
        <w:jc w:val="center"/>
        <w:rPr>
          <w:b/>
          <w:sz w:val="28"/>
          <w:szCs w:val="28"/>
        </w:rPr>
      </w:pPr>
      <w:r w:rsidRPr="00902A29">
        <w:rPr>
          <w:b/>
          <w:sz w:val="28"/>
          <w:szCs w:val="28"/>
        </w:rPr>
        <w:t xml:space="preserve">Програма </w:t>
      </w:r>
      <w:r w:rsidRPr="00902A29">
        <w:rPr>
          <w:b/>
          <w:sz w:val="28"/>
          <w:szCs w:val="28"/>
        </w:rPr>
        <w:t xml:space="preserve">«Країна без бар’єрів для </w:t>
      </w:r>
      <w:proofErr w:type="spellStart"/>
      <w:r w:rsidRPr="00902A29">
        <w:rPr>
          <w:b/>
          <w:sz w:val="28"/>
          <w:szCs w:val="28"/>
        </w:rPr>
        <w:t>нечуючих</w:t>
      </w:r>
      <w:proofErr w:type="spellEnd"/>
      <w:r w:rsidRPr="00902A29">
        <w:rPr>
          <w:b/>
          <w:sz w:val="28"/>
          <w:szCs w:val="28"/>
        </w:rPr>
        <w:t>». Моніторинг доступності об'єктів соціально значимої інфраструктури»</w:t>
      </w:r>
    </w:p>
    <w:p w:rsidR="00902A29" w:rsidRDefault="00902A29">
      <w:pPr>
        <w:spacing w:after="280"/>
        <w:jc w:val="center"/>
        <w:rPr>
          <w:b/>
          <w:sz w:val="24"/>
          <w:szCs w:val="24"/>
        </w:rPr>
      </w:pPr>
    </w:p>
    <w:p w:rsidR="00176642" w:rsidRDefault="00164AA9">
      <w:pPr>
        <w:spacing w:before="280" w:after="280"/>
        <w:ind w:left="-907"/>
        <w:rPr>
          <w:b/>
          <w:sz w:val="24"/>
          <w:szCs w:val="24"/>
        </w:rPr>
      </w:pPr>
      <w:r>
        <w:rPr>
          <w:b/>
          <w:sz w:val="24"/>
          <w:szCs w:val="24"/>
        </w:rPr>
        <w:t>Р</w:t>
      </w:r>
      <w:bookmarkStart w:id="0" w:name="bookmark=id.4d34og8" w:colFirst="0" w:colLast="0"/>
      <w:bookmarkEnd w:id="0"/>
      <w:r>
        <w:rPr>
          <w:b/>
          <w:sz w:val="24"/>
          <w:szCs w:val="24"/>
        </w:rPr>
        <w:t>озділ IV. План реалізації програми (проекту, заходу),  очікувані результати та їх використання</w:t>
      </w:r>
    </w:p>
    <w:p w:rsidR="00176642" w:rsidRDefault="00164AA9">
      <w:pPr>
        <w:spacing w:before="280" w:after="280"/>
        <w:ind w:left="-907"/>
        <w:jc w:val="right"/>
        <w:rPr>
          <w:sz w:val="24"/>
          <w:szCs w:val="24"/>
        </w:rPr>
      </w:pPr>
      <w:bookmarkStart w:id="1" w:name="bookmark=id.2s8eyo1" w:colFirst="0" w:colLast="0"/>
      <w:bookmarkEnd w:id="1"/>
      <w:r>
        <w:rPr>
          <w:sz w:val="24"/>
          <w:szCs w:val="24"/>
        </w:rPr>
        <w:t>Таблиця 1</w:t>
      </w:r>
    </w:p>
    <w:tbl>
      <w:tblPr>
        <w:tblStyle w:val="a9"/>
        <w:tblW w:w="10530" w:type="dxa"/>
        <w:tblInd w:w="-83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097"/>
        <w:gridCol w:w="1897"/>
        <w:gridCol w:w="1903"/>
        <w:gridCol w:w="2387"/>
        <w:gridCol w:w="2246"/>
      </w:tblGrid>
      <w:tr w:rsidR="00176642">
        <w:trPr>
          <w:trHeight w:val="60"/>
        </w:trPr>
        <w:tc>
          <w:tcPr>
            <w:tcW w:w="2097"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bookmarkStart w:id="2" w:name="bookmark=id.26in1rg" w:colFirst="0" w:colLast="0"/>
            <w:bookmarkStart w:id="3" w:name="bookmark=id.17dp8vu" w:colFirst="0" w:colLast="0"/>
            <w:bookmarkStart w:id="4" w:name="bookmark=id.3rdcrjn" w:colFirst="0" w:colLast="0"/>
            <w:bookmarkEnd w:id="2"/>
            <w:bookmarkEnd w:id="3"/>
            <w:bookmarkEnd w:id="4"/>
            <w:r>
              <w:rPr>
                <w:sz w:val="24"/>
                <w:szCs w:val="24"/>
              </w:rPr>
              <w:t>Етап реалізації</w:t>
            </w:r>
          </w:p>
        </w:tc>
        <w:tc>
          <w:tcPr>
            <w:tcW w:w="1897" w:type="dxa"/>
            <w:tcBorders>
              <w:top w:val="single" w:sz="6" w:space="0" w:color="000000"/>
              <w:left w:val="single" w:sz="6" w:space="0" w:color="000000"/>
              <w:bottom w:val="single" w:sz="6" w:space="0" w:color="000000"/>
              <w:right w:val="single" w:sz="6" w:space="0" w:color="000000"/>
            </w:tcBorders>
          </w:tcPr>
          <w:p w:rsidR="00176642" w:rsidRDefault="00164AA9">
            <w:pPr>
              <w:spacing w:after="280"/>
              <w:rPr>
                <w:sz w:val="24"/>
                <w:szCs w:val="24"/>
                <w:highlight w:val="white"/>
              </w:rPr>
            </w:pPr>
            <w:r>
              <w:rPr>
                <w:sz w:val="24"/>
                <w:szCs w:val="24"/>
                <w:highlight w:val="white"/>
              </w:rPr>
              <w:t>Дата, місце реалізації програми (проекту, заходу)</w:t>
            </w:r>
          </w:p>
          <w:p w:rsidR="00176642" w:rsidRDefault="00164AA9">
            <w:pPr>
              <w:spacing w:before="280"/>
              <w:rPr>
                <w:sz w:val="24"/>
                <w:szCs w:val="24"/>
                <w:highlight w:val="white"/>
              </w:rPr>
            </w:pPr>
            <w:r>
              <w:rPr>
                <w:sz w:val="24"/>
                <w:szCs w:val="24"/>
                <w:highlight w:val="white"/>
              </w:rPr>
              <w:t>Строк реалізації</w:t>
            </w:r>
          </w:p>
        </w:tc>
        <w:tc>
          <w:tcPr>
            <w:tcW w:w="1903"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Назва та суть заходу для реалізації етапу</w:t>
            </w:r>
          </w:p>
        </w:tc>
        <w:tc>
          <w:tcPr>
            <w:tcW w:w="2387"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Очікувані результати реалізації програми (проекту, заходу) (показники досягнень, динаміка змін показників (у числовому та/або якісному вимірі))</w:t>
            </w:r>
          </w:p>
        </w:tc>
        <w:tc>
          <w:tcPr>
            <w:tcW w:w="2246"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Очікуване практичне використання отриманих результатів</w:t>
            </w:r>
          </w:p>
        </w:tc>
      </w:tr>
      <w:tr w:rsidR="00176642">
        <w:trPr>
          <w:trHeight w:val="60"/>
        </w:trPr>
        <w:tc>
          <w:tcPr>
            <w:tcW w:w="2097" w:type="dxa"/>
            <w:tcBorders>
              <w:top w:val="single" w:sz="6" w:space="0" w:color="000000"/>
              <w:left w:val="single" w:sz="6" w:space="0" w:color="000000"/>
              <w:bottom w:val="single" w:sz="6" w:space="0" w:color="000000"/>
              <w:right w:val="single" w:sz="6" w:space="0" w:color="000000"/>
            </w:tcBorders>
          </w:tcPr>
          <w:p w:rsidR="00176642" w:rsidRDefault="00164AA9">
            <w:pPr>
              <w:jc w:val="center"/>
            </w:pPr>
            <w:r>
              <w:t>1</w:t>
            </w:r>
          </w:p>
        </w:tc>
        <w:tc>
          <w:tcPr>
            <w:tcW w:w="1897" w:type="dxa"/>
            <w:tcBorders>
              <w:top w:val="single" w:sz="6" w:space="0" w:color="000000"/>
              <w:left w:val="single" w:sz="6" w:space="0" w:color="000000"/>
              <w:bottom w:val="single" w:sz="6" w:space="0" w:color="000000"/>
              <w:right w:val="single" w:sz="6" w:space="0" w:color="000000"/>
            </w:tcBorders>
          </w:tcPr>
          <w:p w:rsidR="00176642" w:rsidRDefault="00164AA9">
            <w:pPr>
              <w:jc w:val="center"/>
              <w:rPr>
                <w:highlight w:val="white"/>
              </w:rPr>
            </w:pPr>
            <w:r>
              <w:rPr>
                <w:highlight w:val="white"/>
              </w:rPr>
              <w:t>2</w:t>
            </w:r>
          </w:p>
        </w:tc>
        <w:tc>
          <w:tcPr>
            <w:tcW w:w="1903" w:type="dxa"/>
            <w:tcBorders>
              <w:top w:val="single" w:sz="6" w:space="0" w:color="000000"/>
              <w:left w:val="single" w:sz="6" w:space="0" w:color="000000"/>
              <w:bottom w:val="single" w:sz="6" w:space="0" w:color="000000"/>
              <w:right w:val="single" w:sz="6" w:space="0" w:color="000000"/>
            </w:tcBorders>
          </w:tcPr>
          <w:p w:rsidR="00176642" w:rsidRDefault="00164AA9">
            <w:pPr>
              <w:jc w:val="center"/>
            </w:pPr>
            <w:r>
              <w:t>3</w:t>
            </w:r>
          </w:p>
        </w:tc>
        <w:tc>
          <w:tcPr>
            <w:tcW w:w="2387" w:type="dxa"/>
            <w:tcBorders>
              <w:top w:val="single" w:sz="6" w:space="0" w:color="000000"/>
              <w:left w:val="single" w:sz="6" w:space="0" w:color="000000"/>
              <w:bottom w:val="single" w:sz="6" w:space="0" w:color="000000"/>
              <w:right w:val="single" w:sz="6" w:space="0" w:color="000000"/>
            </w:tcBorders>
          </w:tcPr>
          <w:p w:rsidR="00176642" w:rsidRDefault="00164AA9">
            <w:pPr>
              <w:jc w:val="center"/>
            </w:pPr>
            <w:r>
              <w:t>4</w:t>
            </w:r>
          </w:p>
        </w:tc>
        <w:tc>
          <w:tcPr>
            <w:tcW w:w="2246" w:type="dxa"/>
            <w:tcBorders>
              <w:top w:val="single" w:sz="6" w:space="0" w:color="000000"/>
              <w:left w:val="single" w:sz="6" w:space="0" w:color="000000"/>
              <w:bottom w:val="single" w:sz="6" w:space="0" w:color="000000"/>
              <w:right w:val="single" w:sz="6" w:space="0" w:color="000000"/>
            </w:tcBorders>
          </w:tcPr>
          <w:p w:rsidR="00176642" w:rsidRDefault="00164AA9">
            <w:pPr>
              <w:jc w:val="center"/>
            </w:pPr>
            <w:r>
              <w:t>5</w:t>
            </w:r>
          </w:p>
        </w:tc>
      </w:tr>
      <w:tr w:rsidR="00176642">
        <w:trPr>
          <w:trHeight w:val="3797"/>
        </w:trPr>
        <w:tc>
          <w:tcPr>
            <w:tcW w:w="2097"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Підготовчий</w:t>
            </w:r>
          </w:p>
        </w:tc>
        <w:tc>
          <w:tcPr>
            <w:tcW w:w="1897" w:type="dxa"/>
            <w:tcBorders>
              <w:top w:val="single" w:sz="6" w:space="0" w:color="000000"/>
              <w:left w:val="single" w:sz="6" w:space="0" w:color="000000"/>
              <w:bottom w:val="single" w:sz="6" w:space="0" w:color="000000"/>
              <w:right w:val="single" w:sz="6" w:space="0" w:color="000000"/>
            </w:tcBorders>
          </w:tcPr>
          <w:p w:rsidR="00176642" w:rsidRDefault="00164AA9">
            <w:pPr>
              <w:rPr>
                <w:sz w:val="22"/>
                <w:szCs w:val="22"/>
                <w:highlight w:val="white"/>
              </w:rPr>
            </w:pPr>
            <w:r>
              <w:rPr>
                <w:sz w:val="22"/>
                <w:szCs w:val="22"/>
                <w:highlight w:val="white"/>
              </w:rPr>
              <w:t>Серпень  2021 року</w:t>
            </w:r>
          </w:p>
          <w:p w:rsidR="00176642" w:rsidRDefault="009D6EDB">
            <w:pPr>
              <w:rPr>
                <w:sz w:val="22"/>
                <w:szCs w:val="22"/>
                <w:highlight w:val="white"/>
              </w:rPr>
            </w:pPr>
            <w:r>
              <w:rPr>
                <w:sz w:val="22"/>
                <w:szCs w:val="22"/>
                <w:highlight w:val="white"/>
              </w:rPr>
              <w:t>м</w:t>
            </w:r>
            <w:r w:rsidR="00164AA9">
              <w:rPr>
                <w:sz w:val="22"/>
                <w:szCs w:val="22"/>
                <w:highlight w:val="white"/>
              </w:rPr>
              <w:t>істо Київ</w:t>
            </w:r>
          </w:p>
        </w:tc>
        <w:tc>
          <w:tcPr>
            <w:tcW w:w="1903"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Підготовка моніторингу</w:t>
            </w:r>
          </w:p>
        </w:tc>
        <w:tc>
          <w:tcPr>
            <w:tcW w:w="2387" w:type="dxa"/>
            <w:tcBorders>
              <w:top w:val="single" w:sz="6" w:space="0" w:color="000000"/>
              <w:left w:val="single" w:sz="6" w:space="0" w:color="000000"/>
              <w:bottom w:val="single" w:sz="6" w:space="0" w:color="000000"/>
              <w:right w:val="single" w:sz="6" w:space="0" w:color="000000"/>
            </w:tcBorders>
          </w:tcPr>
          <w:p w:rsidR="00176642" w:rsidRDefault="00164AA9">
            <w:pPr>
              <w:numPr>
                <w:ilvl w:val="0"/>
                <w:numId w:val="2"/>
              </w:numPr>
              <w:pBdr>
                <w:top w:val="nil"/>
                <w:left w:val="nil"/>
                <w:bottom w:val="nil"/>
                <w:right w:val="nil"/>
                <w:between w:val="nil"/>
              </w:pBdr>
              <w:tabs>
                <w:tab w:val="left" w:pos="127"/>
                <w:tab w:val="left" w:pos="326"/>
              </w:tabs>
              <w:ind w:left="79" w:firstLine="0"/>
              <w:rPr>
                <w:color w:val="000000"/>
                <w:sz w:val="22"/>
                <w:szCs w:val="22"/>
              </w:rPr>
            </w:pPr>
            <w:r>
              <w:rPr>
                <w:color w:val="000000"/>
                <w:sz w:val="22"/>
                <w:szCs w:val="22"/>
              </w:rPr>
              <w:t>Визначений перелік об’єктів соціально значимої інфраструктури, щодо здійснення моніторингу на предмет доступності</w:t>
            </w:r>
            <w:r w:rsidR="00A75D5B">
              <w:rPr>
                <w:color w:val="000000"/>
                <w:sz w:val="22"/>
                <w:szCs w:val="22"/>
              </w:rPr>
              <w:t>.</w:t>
            </w:r>
          </w:p>
          <w:p w:rsidR="00176642" w:rsidRDefault="00164AA9">
            <w:pPr>
              <w:numPr>
                <w:ilvl w:val="0"/>
                <w:numId w:val="2"/>
              </w:numPr>
              <w:pBdr>
                <w:top w:val="nil"/>
                <w:left w:val="nil"/>
                <w:bottom w:val="nil"/>
                <w:right w:val="nil"/>
                <w:between w:val="nil"/>
              </w:pBdr>
              <w:tabs>
                <w:tab w:val="left" w:pos="127"/>
                <w:tab w:val="left" w:pos="326"/>
              </w:tabs>
              <w:ind w:left="79" w:firstLine="0"/>
              <w:rPr>
                <w:color w:val="000000"/>
                <w:sz w:val="22"/>
                <w:szCs w:val="22"/>
              </w:rPr>
            </w:pPr>
            <w:r>
              <w:rPr>
                <w:color w:val="000000"/>
                <w:sz w:val="22"/>
                <w:szCs w:val="22"/>
              </w:rPr>
              <w:t>Організована рекламна кампанія в соціальних мережах</w:t>
            </w:r>
            <w:r w:rsidR="00A75D5B">
              <w:rPr>
                <w:color w:val="000000"/>
                <w:sz w:val="22"/>
                <w:szCs w:val="22"/>
              </w:rPr>
              <w:t>.</w:t>
            </w:r>
          </w:p>
          <w:p w:rsidR="00176642" w:rsidRDefault="00164AA9">
            <w:pPr>
              <w:numPr>
                <w:ilvl w:val="0"/>
                <w:numId w:val="2"/>
              </w:numPr>
              <w:pBdr>
                <w:top w:val="nil"/>
                <w:left w:val="nil"/>
                <w:bottom w:val="nil"/>
                <w:right w:val="nil"/>
                <w:between w:val="nil"/>
              </w:pBdr>
              <w:tabs>
                <w:tab w:val="left" w:pos="127"/>
                <w:tab w:val="left" w:pos="269"/>
                <w:tab w:val="left" w:pos="326"/>
              </w:tabs>
              <w:ind w:left="79" w:firstLine="0"/>
              <w:rPr>
                <w:color w:val="000000"/>
                <w:sz w:val="22"/>
                <w:szCs w:val="22"/>
              </w:rPr>
            </w:pPr>
            <w:r>
              <w:rPr>
                <w:color w:val="000000"/>
                <w:sz w:val="22"/>
                <w:szCs w:val="22"/>
              </w:rPr>
              <w:t>Волонтерські групи на місцях проінструктовані про правила проведення моніторингу</w:t>
            </w:r>
            <w:r w:rsidR="00A75D5B">
              <w:rPr>
                <w:color w:val="000000"/>
                <w:sz w:val="22"/>
                <w:szCs w:val="22"/>
              </w:rPr>
              <w:t>.</w:t>
            </w:r>
            <w:r>
              <w:rPr>
                <w:color w:val="000000"/>
                <w:sz w:val="22"/>
                <w:szCs w:val="22"/>
              </w:rPr>
              <w:t xml:space="preserve"> </w:t>
            </w:r>
          </w:p>
        </w:tc>
        <w:tc>
          <w:tcPr>
            <w:tcW w:w="2246" w:type="dxa"/>
            <w:tcBorders>
              <w:top w:val="single" w:sz="6" w:space="0" w:color="000000"/>
              <w:left w:val="single" w:sz="6" w:space="0" w:color="000000"/>
              <w:bottom w:val="single" w:sz="6" w:space="0" w:color="000000"/>
              <w:right w:val="single" w:sz="6" w:space="0" w:color="000000"/>
            </w:tcBorders>
          </w:tcPr>
          <w:p w:rsidR="00176642" w:rsidRDefault="00164AA9">
            <w:pPr>
              <w:jc w:val="both"/>
              <w:rPr>
                <w:sz w:val="22"/>
                <w:szCs w:val="22"/>
              </w:rPr>
            </w:pPr>
            <w:r>
              <w:rPr>
                <w:sz w:val="22"/>
                <w:szCs w:val="22"/>
              </w:rPr>
              <w:t>Здійснено підготовчу роботу для запуску програми моніторингу об’єктів со</w:t>
            </w:r>
            <w:r w:rsidR="00A75D5B">
              <w:rPr>
                <w:sz w:val="22"/>
                <w:szCs w:val="22"/>
              </w:rPr>
              <w:t>ціально значимої інфраструктури.</w:t>
            </w:r>
          </w:p>
          <w:p w:rsidR="00176642" w:rsidRDefault="00176642">
            <w:pPr>
              <w:spacing w:before="280"/>
              <w:rPr>
                <w:sz w:val="24"/>
                <w:szCs w:val="24"/>
              </w:rPr>
            </w:pPr>
          </w:p>
        </w:tc>
      </w:tr>
      <w:tr w:rsidR="00176642">
        <w:trPr>
          <w:trHeight w:val="304"/>
        </w:trPr>
        <w:tc>
          <w:tcPr>
            <w:tcW w:w="2097"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Основний</w:t>
            </w:r>
          </w:p>
        </w:tc>
        <w:tc>
          <w:tcPr>
            <w:tcW w:w="1897" w:type="dxa"/>
            <w:tcBorders>
              <w:top w:val="single" w:sz="6" w:space="0" w:color="000000"/>
              <w:left w:val="single" w:sz="6" w:space="0" w:color="000000"/>
              <w:bottom w:val="single" w:sz="6" w:space="0" w:color="000000"/>
              <w:right w:val="single" w:sz="6" w:space="0" w:color="000000"/>
            </w:tcBorders>
          </w:tcPr>
          <w:p w:rsidR="00176642" w:rsidRDefault="00164AA9">
            <w:pPr>
              <w:rPr>
                <w:sz w:val="22"/>
                <w:szCs w:val="22"/>
                <w:highlight w:val="white"/>
              </w:rPr>
            </w:pPr>
            <w:r>
              <w:rPr>
                <w:sz w:val="22"/>
                <w:szCs w:val="22"/>
                <w:highlight w:val="white"/>
              </w:rPr>
              <w:t>Вересень – листопад  2021 року</w:t>
            </w:r>
          </w:p>
          <w:p w:rsidR="00176642" w:rsidRDefault="00A75D5B">
            <w:pPr>
              <w:rPr>
                <w:sz w:val="22"/>
                <w:szCs w:val="22"/>
                <w:highlight w:val="white"/>
              </w:rPr>
            </w:pPr>
            <w:r>
              <w:rPr>
                <w:sz w:val="22"/>
                <w:szCs w:val="22"/>
                <w:highlight w:val="white"/>
              </w:rPr>
              <w:t>м</w:t>
            </w:r>
            <w:r w:rsidR="00164AA9">
              <w:rPr>
                <w:sz w:val="22"/>
                <w:szCs w:val="22"/>
                <w:highlight w:val="white"/>
              </w:rPr>
              <w:t>істо Київ</w:t>
            </w:r>
          </w:p>
          <w:p w:rsidR="00176642" w:rsidRDefault="00176642">
            <w:pPr>
              <w:rPr>
                <w:sz w:val="22"/>
                <w:szCs w:val="22"/>
                <w:highlight w:val="white"/>
              </w:rPr>
            </w:pPr>
          </w:p>
        </w:tc>
        <w:tc>
          <w:tcPr>
            <w:tcW w:w="1903"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Моніторинг</w:t>
            </w:r>
          </w:p>
        </w:tc>
        <w:tc>
          <w:tcPr>
            <w:tcW w:w="2387" w:type="dxa"/>
            <w:tcBorders>
              <w:top w:val="single" w:sz="6" w:space="0" w:color="000000"/>
              <w:left w:val="single" w:sz="6" w:space="0" w:color="000000"/>
              <w:bottom w:val="single" w:sz="6" w:space="0" w:color="000000"/>
              <w:right w:val="single" w:sz="6" w:space="0" w:color="000000"/>
            </w:tcBorders>
          </w:tcPr>
          <w:p w:rsidR="00176642" w:rsidRDefault="00164AA9">
            <w:pPr>
              <w:spacing w:after="280"/>
              <w:rPr>
                <w:sz w:val="22"/>
                <w:szCs w:val="22"/>
              </w:rPr>
            </w:pPr>
            <w:r>
              <w:rPr>
                <w:sz w:val="22"/>
                <w:szCs w:val="22"/>
              </w:rPr>
              <w:t>Проведено моніторинг об’єктів соціально значимої інфраструктури на предмет наявності інструментів перекладу жестової мови</w:t>
            </w:r>
            <w:r w:rsidR="00A75D5B">
              <w:rPr>
                <w:sz w:val="22"/>
                <w:szCs w:val="22"/>
              </w:rPr>
              <w:t>.</w:t>
            </w:r>
          </w:p>
          <w:p w:rsidR="00176642" w:rsidRDefault="00164AA9">
            <w:pPr>
              <w:spacing w:before="280" w:after="280"/>
              <w:rPr>
                <w:sz w:val="22"/>
                <w:szCs w:val="22"/>
              </w:rPr>
            </w:pPr>
            <w:r>
              <w:rPr>
                <w:sz w:val="22"/>
                <w:szCs w:val="22"/>
              </w:rPr>
              <w:t xml:space="preserve">Створена карта доступності таких </w:t>
            </w:r>
            <w:r>
              <w:rPr>
                <w:sz w:val="22"/>
                <w:szCs w:val="22"/>
              </w:rPr>
              <w:lastRenderedPageBreak/>
              <w:t>об’єктів</w:t>
            </w:r>
            <w:r w:rsidR="00A75D5B">
              <w:rPr>
                <w:sz w:val="22"/>
                <w:szCs w:val="22"/>
              </w:rPr>
              <w:t>.</w:t>
            </w:r>
          </w:p>
          <w:p w:rsidR="00176642" w:rsidRDefault="00164AA9">
            <w:pPr>
              <w:spacing w:before="280"/>
              <w:rPr>
                <w:sz w:val="24"/>
                <w:szCs w:val="24"/>
              </w:rPr>
            </w:pPr>
            <w:r>
              <w:rPr>
                <w:sz w:val="22"/>
                <w:szCs w:val="22"/>
              </w:rPr>
              <w:t>Об’єктам, які не відповідають вимогам Конвенції щодо доступності для людей з порушенням слуху надані рекомендації щодо усунення таких порушень</w:t>
            </w:r>
            <w:r w:rsidR="00A75D5B">
              <w:rPr>
                <w:sz w:val="22"/>
                <w:szCs w:val="22"/>
              </w:rPr>
              <w:t>.</w:t>
            </w:r>
          </w:p>
        </w:tc>
        <w:tc>
          <w:tcPr>
            <w:tcW w:w="2246"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2"/>
                <w:szCs w:val="22"/>
              </w:rPr>
              <w:lastRenderedPageBreak/>
              <w:t xml:space="preserve">Карта доступності опублікована на офіційному сайті ГО та їй можуть користуватися люди з порушенням слуху. В свою чергу, шляхом надання рекомендацій об’єктам в яких не встановлені </w:t>
            </w:r>
            <w:r>
              <w:rPr>
                <w:sz w:val="22"/>
                <w:szCs w:val="22"/>
              </w:rPr>
              <w:lastRenderedPageBreak/>
              <w:t>інструменти комунікації отримали рекомендації щодо встановлення та використання таких інструментів</w:t>
            </w:r>
            <w:r w:rsidR="00A75D5B">
              <w:rPr>
                <w:sz w:val="22"/>
                <w:szCs w:val="22"/>
              </w:rPr>
              <w:t>.</w:t>
            </w:r>
          </w:p>
        </w:tc>
      </w:tr>
      <w:tr w:rsidR="00176642">
        <w:trPr>
          <w:trHeight w:val="304"/>
        </w:trPr>
        <w:tc>
          <w:tcPr>
            <w:tcW w:w="2097"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lastRenderedPageBreak/>
              <w:t>Завершальний</w:t>
            </w:r>
          </w:p>
        </w:tc>
        <w:tc>
          <w:tcPr>
            <w:tcW w:w="1897" w:type="dxa"/>
            <w:tcBorders>
              <w:top w:val="single" w:sz="6" w:space="0" w:color="000000"/>
              <w:left w:val="single" w:sz="6" w:space="0" w:color="000000"/>
              <w:bottom w:val="single" w:sz="6" w:space="0" w:color="000000"/>
              <w:right w:val="single" w:sz="6" w:space="0" w:color="000000"/>
            </w:tcBorders>
          </w:tcPr>
          <w:p w:rsidR="00176642" w:rsidRDefault="00164AA9">
            <w:pPr>
              <w:rPr>
                <w:sz w:val="22"/>
                <w:szCs w:val="22"/>
                <w:highlight w:val="white"/>
              </w:rPr>
            </w:pPr>
            <w:r>
              <w:rPr>
                <w:sz w:val="22"/>
                <w:szCs w:val="22"/>
                <w:highlight w:val="white"/>
              </w:rPr>
              <w:t>Грудень 2021 року</w:t>
            </w:r>
          </w:p>
          <w:p w:rsidR="00176642" w:rsidRDefault="00A75D5B">
            <w:pPr>
              <w:rPr>
                <w:sz w:val="24"/>
                <w:szCs w:val="24"/>
                <w:highlight w:val="white"/>
              </w:rPr>
            </w:pPr>
            <w:r>
              <w:rPr>
                <w:sz w:val="22"/>
                <w:szCs w:val="22"/>
                <w:highlight w:val="white"/>
              </w:rPr>
              <w:t>м</w:t>
            </w:r>
            <w:r w:rsidR="00164AA9">
              <w:rPr>
                <w:sz w:val="22"/>
                <w:szCs w:val="22"/>
                <w:highlight w:val="white"/>
              </w:rPr>
              <w:t>істо Київ</w:t>
            </w:r>
          </w:p>
        </w:tc>
        <w:tc>
          <w:tcPr>
            <w:tcW w:w="1903"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Фінальна звітність</w:t>
            </w:r>
          </w:p>
        </w:tc>
        <w:tc>
          <w:tcPr>
            <w:tcW w:w="2387" w:type="dxa"/>
            <w:tcBorders>
              <w:top w:val="single" w:sz="6" w:space="0" w:color="000000"/>
              <w:left w:val="single" w:sz="6" w:space="0" w:color="000000"/>
              <w:bottom w:val="single" w:sz="6" w:space="0" w:color="000000"/>
              <w:right w:val="single" w:sz="6" w:space="0" w:color="000000"/>
            </w:tcBorders>
          </w:tcPr>
          <w:p w:rsidR="00176642" w:rsidRDefault="00176642">
            <w:pPr>
              <w:rPr>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2"/>
                <w:szCs w:val="22"/>
              </w:rPr>
              <w:t xml:space="preserve">Створено можливості для всебічної реалізації особами з порушенням слуху своїх прав щодо включення їх до суспільного життя нарівні з іншими громадянами. Усунення перепон і бар’єрів, що перешкоджають людям з порушенням слуху в реалізації своїх прав і задоволенню потреб, у тому числі, стосовно доступу до інформації та зв’язку, виконання соціальної ролі шляхом здійснення моніторингу об’єктів соціально значимої інфраструктури (лікарні, органи місцевої влади, центри надання адміністративних послуг тощо) на наявність інструментів комунікації між представниками таких об’єктів та осіб з порушенням слуху (яких в Україні нараховується близько 508 тисяч осіб, з яких 49,5 % – жінки), створення карти доступності та стимулювання щодо таких об’єктів щодо використання інструментів комунікації між представниками таких об’єктів та осіб з порушенням слуху як того вимагає Конвенція ООН про права осіб з </w:t>
            </w:r>
            <w:r>
              <w:rPr>
                <w:sz w:val="22"/>
                <w:szCs w:val="22"/>
              </w:rPr>
              <w:lastRenderedPageBreak/>
              <w:t>інвалідністю.</w:t>
            </w:r>
          </w:p>
        </w:tc>
      </w:tr>
    </w:tbl>
    <w:p w:rsidR="00176642" w:rsidRDefault="00164AA9">
      <w:pPr>
        <w:spacing w:before="280" w:after="280"/>
        <w:ind w:left="-907"/>
        <w:jc w:val="right"/>
        <w:rPr>
          <w:sz w:val="24"/>
          <w:szCs w:val="24"/>
        </w:rPr>
      </w:pPr>
      <w:r>
        <w:rPr>
          <w:sz w:val="24"/>
          <w:szCs w:val="24"/>
        </w:rPr>
        <w:lastRenderedPageBreak/>
        <w:t>Таблиця 2</w:t>
      </w:r>
    </w:p>
    <w:tbl>
      <w:tblPr>
        <w:tblStyle w:val="aa"/>
        <w:tblW w:w="10530" w:type="dxa"/>
        <w:tblInd w:w="-83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775"/>
        <w:gridCol w:w="4755"/>
      </w:tblGrid>
      <w:tr w:rsidR="00176642">
        <w:trPr>
          <w:trHeight w:val="60"/>
        </w:trPr>
        <w:tc>
          <w:tcPr>
            <w:tcW w:w="5775"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bookmarkStart w:id="5" w:name="bookmark=id.35nkun2" w:colFirst="0" w:colLast="0"/>
            <w:bookmarkStart w:id="6" w:name="bookmark=id.lnxbz9" w:colFirst="0" w:colLast="0"/>
            <w:bookmarkEnd w:id="5"/>
            <w:bookmarkEnd w:id="6"/>
            <w:r>
              <w:rPr>
                <w:sz w:val="24"/>
                <w:szCs w:val="24"/>
              </w:rPr>
              <w:t>Короткострокові</w:t>
            </w:r>
          </w:p>
        </w:tc>
        <w:tc>
          <w:tcPr>
            <w:tcW w:w="4755" w:type="dxa"/>
            <w:tcBorders>
              <w:top w:val="single" w:sz="6" w:space="0" w:color="000000"/>
              <w:left w:val="single" w:sz="6" w:space="0" w:color="000000"/>
              <w:bottom w:val="single" w:sz="6" w:space="0" w:color="000000"/>
              <w:right w:val="single" w:sz="6" w:space="0" w:color="000000"/>
            </w:tcBorders>
          </w:tcPr>
          <w:p w:rsidR="00176642" w:rsidRDefault="00164AA9">
            <w:pPr>
              <w:jc w:val="both"/>
              <w:rPr>
                <w:b/>
                <w:sz w:val="24"/>
                <w:szCs w:val="24"/>
                <w:highlight w:val="yellow"/>
              </w:rPr>
            </w:pPr>
            <w:r>
              <w:rPr>
                <w:sz w:val="24"/>
                <w:szCs w:val="24"/>
              </w:rPr>
              <w:t>Проведено моніторинг об’єктів соціально значимої інфраструктури (лікарні, органи місцевої влади, центри надання адміністративних послуг тощо) на наявність інструментів комунікації між представниками таких об’єктів та осіб з порушенням слуху як того вимагає Конвенція ООН про права осіб з інвалідністю</w:t>
            </w:r>
            <w:r w:rsidR="00A75D5B">
              <w:rPr>
                <w:sz w:val="24"/>
                <w:szCs w:val="24"/>
              </w:rPr>
              <w:t>.</w:t>
            </w:r>
          </w:p>
        </w:tc>
      </w:tr>
      <w:tr w:rsidR="00176642">
        <w:trPr>
          <w:trHeight w:val="60"/>
        </w:trPr>
        <w:tc>
          <w:tcPr>
            <w:tcW w:w="5775"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Довгострокові</w:t>
            </w:r>
          </w:p>
        </w:tc>
        <w:tc>
          <w:tcPr>
            <w:tcW w:w="4755" w:type="dxa"/>
            <w:tcBorders>
              <w:top w:val="single" w:sz="6" w:space="0" w:color="000000"/>
              <w:left w:val="single" w:sz="6" w:space="0" w:color="000000"/>
              <w:bottom w:val="single" w:sz="6" w:space="0" w:color="000000"/>
              <w:right w:val="single" w:sz="6" w:space="0" w:color="000000"/>
            </w:tcBorders>
          </w:tcPr>
          <w:p w:rsidR="00176642" w:rsidRDefault="00164AA9">
            <w:pPr>
              <w:jc w:val="both"/>
              <w:rPr>
                <w:sz w:val="24"/>
                <w:szCs w:val="24"/>
                <w:highlight w:val="yellow"/>
              </w:rPr>
            </w:pPr>
            <w:r>
              <w:rPr>
                <w:sz w:val="24"/>
                <w:szCs w:val="24"/>
              </w:rPr>
              <w:t xml:space="preserve">Створена карта доступності щодо доступу </w:t>
            </w:r>
            <w:proofErr w:type="spellStart"/>
            <w:r>
              <w:rPr>
                <w:sz w:val="24"/>
                <w:szCs w:val="24"/>
              </w:rPr>
              <w:t>нечуючих</w:t>
            </w:r>
            <w:proofErr w:type="spellEnd"/>
            <w:r>
              <w:rPr>
                <w:sz w:val="24"/>
                <w:szCs w:val="24"/>
              </w:rPr>
              <w:t xml:space="preserve"> та осіб з порушенням слуху до об’єктів соціально значимої інфраструктури (лікарні, органи місцевої влади, центри надання адміністративних послуг тощо) в яких встановлено програмне забезпечення та надана можливості здійснювати комунікацію з іншими людьми через виклик перекладача жестової мови</w:t>
            </w:r>
            <w:r w:rsidR="00A75D5B">
              <w:rPr>
                <w:sz w:val="24"/>
                <w:szCs w:val="24"/>
              </w:rPr>
              <w:t>.</w:t>
            </w:r>
          </w:p>
        </w:tc>
      </w:tr>
      <w:tr w:rsidR="00176642">
        <w:trPr>
          <w:trHeight w:val="60"/>
        </w:trPr>
        <w:tc>
          <w:tcPr>
            <w:tcW w:w="5775"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Числові показники досягнення</w:t>
            </w:r>
          </w:p>
        </w:tc>
        <w:tc>
          <w:tcPr>
            <w:tcW w:w="4755" w:type="dxa"/>
            <w:tcBorders>
              <w:top w:val="single" w:sz="6" w:space="0" w:color="000000"/>
              <w:left w:val="single" w:sz="6" w:space="0" w:color="000000"/>
              <w:bottom w:val="single" w:sz="6" w:space="0" w:color="000000"/>
              <w:right w:val="single" w:sz="6" w:space="0" w:color="000000"/>
            </w:tcBorders>
          </w:tcPr>
          <w:p w:rsidR="00176642" w:rsidRDefault="00164AA9">
            <w:pPr>
              <w:jc w:val="both"/>
              <w:rPr>
                <w:sz w:val="24"/>
                <w:szCs w:val="24"/>
                <w:highlight w:val="yellow"/>
              </w:rPr>
            </w:pPr>
            <w:r>
              <w:rPr>
                <w:sz w:val="24"/>
                <w:szCs w:val="24"/>
              </w:rPr>
              <w:t>Проведено моніторинг більше 100 об’єктів соціально значимої інфраструктури на предмет доступності таких об’єктів для людей з порушенням слуху</w:t>
            </w:r>
            <w:r w:rsidR="00A75D5B">
              <w:rPr>
                <w:sz w:val="24"/>
                <w:szCs w:val="24"/>
              </w:rPr>
              <w:t>.</w:t>
            </w:r>
          </w:p>
        </w:tc>
      </w:tr>
      <w:tr w:rsidR="00176642">
        <w:trPr>
          <w:trHeight w:val="60"/>
        </w:trPr>
        <w:tc>
          <w:tcPr>
            <w:tcW w:w="5775"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Якісні показники досягнення</w:t>
            </w:r>
          </w:p>
        </w:tc>
        <w:tc>
          <w:tcPr>
            <w:tcW w:w="4755" w:type="dxa"/>
            <w:tcBorders>
              <w:top w:val="single" w:sz="6" w:space="0" w:color="000000"/>
              <w:left w:val="single" w:sz="6" w:space="0" w:color="000000"/>
              <w:bottom w:val="single" w:sz="6" w:space="0" w:color="000000"/>
              <w:right w:val="single" w:sz="6" w:space="0" w:color="000000"/>
            </w:tcBorders>
          </w:tcPr>
          <w:p w:rsidR="00176642" w:rsidRDefault="00164AA9">
            <w:pPr>
              <w:jc w:val="both"/>
              <w:rPr>
                <w:sz w:val="24"/>
                <w:szCs w:val="24"/>
                <w:highlight w:val="yellow"/>
              </w:rPr>
            </w:pPr>
            <w:r>
              <w:rPr>
                <w:sz w:val="24"/>
                <w:szCs w:val="24"/>
              </w:rPr>
              <w:t>Об’єкти соціально значимої інфраструктури за результатами проведеного моніторингу повідомленні про необхідність  виконання завдань конвенції про права осіб з інвалідністю та можливості щодо вирішення питання з виконання таких умов</w:t>
            </w:r>
            <w:r w:rsidR="00A75D5B">
              <w:rPr>
                <w:sz w:val="24"/>
                <w:szCs w:val="24"/>
              </w:rPr>
              <w:t>.</w:t>
            </w:r>
          </w:p>
        </w:tc>
      </w:tr>
    </w:tbl>
    <w:p w:rsidR="00176642" w:rsidRDefault="00164AA9" w:rsidP="00A75D5B">
      <w:pPr>
        <w:spacing w:before="280" w:after="280"/>
        <w:rPr>
          <w:i/>
          <w:sz w:val="24"/>
          <w:szCs w:val="24"/>
        </w:rPr>
      </w:pPr>
      <w:bookmarkStart w:id="7" w:name="_GoBack"/>
      <w:bookmarkEnd w:id="7"/>
      <w:r>
        <w:rPr>
          <w:i/>
          <w:sz w:val="24"/>
          <w:szCs w:val="24"/>
        </w:rPr>
        <w:t xml:space="preserve"> </w:t>
      </w:r>
    </w:p>
    <w:p w:rsidR="00176642" w:rsidRDefault="00164AA9">
      <w:pPr>
        <w:spacing w:before="280" w:after="280"/>
        <w:ind w:left="-907"/>
        <w:jc w:val="right"/>
        <w:rPr>
          <w:sz w:val="24"/>
          <w:szCs w:val="24"/>
        </w:rPr>
      </w:pPr>
      <w:bookmarkStart w:id="8" w:name="bookmark=id.1ksv4uv" w:colFirst="0" w:colLast="0"/>
      <w:bookmarkEnd w:id="8"/>
      <w:r>
        <w:rPr>
          <w:sz w:val="24"/>
          <w:szCs w:val="24"/>
        </w:rPr>
        <w:t>Таблиця 3</w:t>
      </w:r>
    </w:p>
    <w:tbl>
      <w:tblPr>
        <w:tblStyle w:val="ab"/>
        <w:tblW w:w="10530" w:type="dxa"/>
        <w:tblInd w:w="-83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697"/>
        <w:gridCol w:w="3833"/>
      </w:tblGrid>
      <w:tr w:rsidR="00176642">
        <w:trPr>
          <w:trHeight w:val="60"/>
        </w:trPr>
        <w:tc>
          <w:tcPr>
            <w:tcW w:w="6697"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bookmarkStart w:id="9" w:name="bookmark=id.2jxsxqh" w:colFirst="0" w:colLast="0"/>
            <w:bookmarkStart w:id="10" w:name="bookmark=id.44sinio" w:colFirst="0" w:colLast="0"/>
            <w:bookmarkEnd w:id="9"/>
            <w:bookmarkEnd w:id="10"/>
            <w:r>
              <w:rPr>
                <w:sz w:val="24"/>
                <w:szCs w:val="24"/>
              </w:rPr>
              <w:t>Способи інформування громадськості про хід та результати реалізації програми (проекту, заходу) (зазначаються найменування засобів масової інформації, строки та методи інформування громадськості)</w:t>
            </w:r>
          </w:p>
        </w:tc>
        <w:tc>
          <w:tcPr>
            <w:tcW w:w="3833"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 xml:space="preserve">Офіційний веб-сайт громадської організації, Офіційна сторінка Громадської організації у соціальній мережі </w:t>
            </w:r>
            <w:proofErr w:type="spellStart"/>
            <w:r>
              <w:rPr>
                <w:sz w:val="24"/>
                <w:szCs w:val="24"/>
              </w:rPr>
              <w:t>Фейсбук</w:t>
            </w:r>
            <w:proofErr w:type="spellEnd"/>
          </w:p>
        </w:tc>
      </w:tr>
      <w:tr w:rsidR="00176642">
        <w:trPr>
          <w:trHeight w:val="60"/>
        </w:trPr>
        <w:tc>
          <w:tcPr>
            <w:tcW w:w="6697"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tc>
        <w:tc>
          <w:tcPr>
            <w:tcW w:w="3833" w:type="dxa"/>
            <w:tcBorders>
              <w:top w:val="single" w:sz="6" w:space="0" w:color="000000"/>
              <w:left w:val="single" w:sz="6" w:space="0" w:color="000000"/>
              <w:bottom w:val="single" w:sz="6" w:space="0" w:color="000000"/>
              <w:right w:val="single" w:sz="6" w:space="0" w:color="000000"/>
            </w:tcBorders>
            <w:shd w:val="clear" w:color="auto" w:fill="auto"/>
          </w:tcPr>
          <w:p w:rsidR="00176642" w:rsidRDefault="00164AA9">
            <w:pPr>
              <w:rPr>
                <w:sz w:val="24"/>
                <w:szCs w:val="24"/>
              </w:rPr>
            </w:pPr>
            <w:r>
              <w:rPr>
                <w:sz w:val="24"/>
                <w:szCs w:val="24"/>
              </w:rPr>
              <w:t xml:space="preserve">Продовження роботи програми та розширення кількості об’єктів соціально значимої інфраструктури, які </w:t>
            </w:r>
            <w:proofErr w:type="spellStart"/>
            <w:r>
              <w:rPr>
                <w:sz w:val="24"/>
                <w:szCs w:val="24"/>
              </w:rPr>
              <w:t>під’єднуються</w:t>
            </w:r>
            <w:proofErr w:type="spellEnd"/>
            <w:r>
              <w:rPr>
                <w:sz w:val="24"/>
                <w:szCs w:val="24"/>
              </w:rPr>
              <w:t xml:space="preserve"> до програми  </w:t>
            </w:r>
          </w:p>
        </w:tc>
      </w:tr>
      <w:tr w:rsidR="00176642">
        <w:trPr>
          <w:trHeight w:val="60"/>
        </w:trPr>
        <w:tc>
          <w:tcPr>
            <w:tcW w:w="6697"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Інформація щодо поширення позитивного досвіду в процесі реалізації програми (проекту, заходу)</w:t>
            </w:r>
          </w:p>
        </w:tc>
        <w:tc>
          <w:tcPr>
            <w:tcW w:w="3833" w:type="dxa"/>
            <w:tcBorders>
              <w:top w:val="single" w:sz="6" w:space="0" w:color="000000"/>
              <w:left w:val="single" w:sz="6" w:space="0" w:color="000000"/>
              <w:bottom w:val="single" w:sz="6" w:space="0" w:color="000000"/>
              <w:right w:val="single" w:sz="6" w:space="0" w:color="000000"/>
            </w:tcBorders>
          </w:tcPr>
          <w:p w:rsidR="00176642" w:rsidRDefault="00164AA9">
            <w:pPr>
              <w:rPr>
                <w:sz w:val="24"/>
                <w:szCs w:val="24"/>
              </w:rPr>
            </w:pPr>
            <w:r>
              <w:rPr>
                <w:sz w:val="24"/>
                <w:szCs w:val="24"/>
              </w:rPr>
              <w:t>Офіційний веб-сайт громадської організації www.se.org.ua</w:t>
            </w:r>
          </w:p>
        </w:tc>
      </w:tr>
    </w:tbl>
    <w:p w:rsidR="00176642" w:rsidRDefault="00176642" w:rsidP="00A75D5B">
      <w:pPr>
        <w:spacing w:before="280" w:after="280"/>
        <w:ind w:left="-907"/>
        <w:jc w:val="center"/>
        <w:rPr>
          <w:sz w:val="24"/>
          <w:szCs w:val="24"/>
        </w:rPr>
      </w:pPr>
    </w:p>
    <w:sectPr w:rsidR="0017664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68A"/>
    <w:multiLevelType w:val="multilevel"/>
    <w:tmpl w:val="50FC5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B24C5F"/>
    <w:multiLevelType w:val="multilevel"/>
    <w:tmpl w:val="1DEC40F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29E3305E"/>
    <w:multiLevelType w:val="multilevel"/>
    <w:tmpl w:val="A84E3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9A4EC2"/>
    <w:multiLevelType w:val="multilevel"/>
    <w:tmpl w:val="45542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CE1811"/>
    <w:multiLevelType w:val="multilevel"/>
    <w:tmpl w:val="E52EB6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42"/>
    <w:rsid w:val="00092BD2"/>
    <w:rsid w:val="00164AA9"/>
    <w:rsid w:val="00176642"/>
    <w:rsid w:val="002144D2"/>
    <w:rsid w:val="002E6A73"/>
    <w:rsid w:val="002F7F1D"/>
    <w:rsid w:val="006A206B"/>
    <w:rsid w:val="00752671"/>
    <w:rsid w:val="007650B8"/>
    <w:rsid w:val="00770ABF"/>
    <w:rsid w:val="007D6828"/>
    <w:rsid w:val="00805B92"/>
    <w:rsid w:val="008D4A30"/>
    <w:rsid w:val="00902A29"/>
    <w:rsid w:val="009D6EDB"/>
    <w:rsid w:val="009E601E"/>
    <w:rsid w:val="00A75D5B"/>
    <w:rsid w:val="00B91DEF"/>
    <w:rsid w:val="00C50F1D"/>
    <w:rsid w:val="00D838E8"/>
    <w:rsid w:val="00E45D0D"/>
    <w:rsid w:val="00F64A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7365"/>
  <w15:docId w15:val="{B71269C8-D38D-4715-847B-A34816BA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881"/>
    <w:rPr>
      <w:lang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F0FBA"/>
    <w:pPr>
      <w:spacing w:after="200" w:line="276" w:lineRule="auto"/>
      <w:ind w:left="720"/>
      <w:contextualSpacing/>
    </w:pPr>
    <w:rPr>
      <w:rFonts w:ascii="Calibri" w:hAnsi="Calibri"/>
      <w:sz w:val="22"/>
      <w:szCs w:val="22"/>
      <w:lang w:val="ru-RU"/>
    </w:rPr>
  </w:style>
  <w:style w:type="character" w:customStyle="1" w:styleId="20">
    <w:name w:val="Основной шрифт абзаца2"/>
    <w:rsid w:val="008F0FBA"/>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jnxlsCdGMWu/fevkQI7N9WOHeA==">AMUW2mVna42cM5CXvbQQfFQ6E7M4o+0o3B2RwnanFJap+Z/MEQYuX0/s4c6/+J80+2hHzoZcA5iaY5/1tQ/4vJ/qVS1B9D9NG/ZtsfKk5HKwag9D8814i5MUeoq45rb4O62xUbe/QLFNtHXGFSxAg2Kocph4/OhnKZIIOToR5lXr3UdVK/JK2wfteewVa7x9iOkW/hMvaYGFCJwKfI0K8sp7cQNTlc0v8/jDoKWLyeZHIrs+tx6tITTyuoTZIZn2ry0anONZNxHo0ItSldsXm8InQqGnPeeUqxsixYfd1wLM3dcRvCier+6Hak5RZ2xhVMT6rA+K+i6l8pIW1oi7uKlSoc19iKVbcdUEJtalSQ7a4BseCIY/fkRbliwaFJ8HbT5QUIkSUqWGHwMRILOk/350+bP1c80SE9vxT6n3HOyEuMs4UPt9L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3064</Words>
  <Characters>1748</Characters>
  <Application>Microsoft Office Word</Application>
  <DocSecurity>0</DocSecurity>
  <Lines>14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Вікторівна Роденко</dc:creator>
  <cp:lastModifiedBy>Роденко Ольга Вікторівна</cp:lastModifiedBy>
  <cp:revision>57</cp:revision>
  <dcterms:created xsi:type="dcterms:W3CDTF">2021-07-16T21:05:00Z</dcterms:created>
  <dcterms:modified xsi:type="dcterms:W3CDTF">2021-08-12T12:22:00Z</dcterms:modified>
</cp:coreProperties>
</file>